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13" o:spid="_x0000_s1026" style="position:absolute;left:0;flip:y;margin-left:0pt;margin-top:38.2pt;height:0.8pt;width:507.1pt;rotation:0f;z-index:251660288;" o:ole="f" fillcolor="#FFFFFF" filled="f" o:preferrelative="t" stroked="t" coordsize="21600,21600">
            <v:fill on="f" color2="#FFFFFF" focus="0%"/>
            <v:stroke weight="3pt" color="#000000" color2="#FFFFFF"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rPr>
          <w:rFonts w:hint="eastAsia" w:ascii="宋体" w:hAnsi="宋体" w:eastAsia="宋体" w:cs="宋体"/>
          <w:b w:val="0"/>
          <w:bCs/>
          <w:color w:val="000000"/>
          <w:sz w:val="48"/>
          <w:szCs w:val="48"/>
        </w:rPr>
      </w:pPr>
      <w:r>
        <w:rPr>
          <w:rFonts w:hint="eastAsia" w:ascii="宋体" w:hAnsi="宋体" w:eastAsia="宋体" w:cs="宋体"/>
          <w:b/>
          <w:sz w:val="28"/>
          <w:szCs w:val="28"/>
        </w:rPr>
        <w:t>项目名称：</w:t>
      </w:r>
      <w:r>
        <w:rPr>
          <w:rFonts w:hint="default" w:ascii="宋体" w:hAnsi="宋体"/>
          <w:sz w:val="24"/>
        </w:rPr>
        <w:t>特种设备</w:t>
      </w:r>
      <w:r>
        <w:rPr>
          <w:rFonts w:hint="eastAsia" w:ascii="宋体" w:hAnsi="宋体"/>
          <w:sz w:val="24"/>
          <w:lang w:eastAsia="zh-CN"/>
        </w:rPr>
        <w:t>安全管理人员和</w:t>
      </w:r>
      <w:r>
        <w:rPr>
          <w:rFonts w:hint="default" w:ascii="宋体" w:hAnsi="宋体"/>
          <w:sz w:val="24"/>
        </w:rPr>
        <w:t>作业人员资格认定复审</w:t>
      </w:r>
    </w:p>
    <w:p>
      <w:pPr>
        <w:ind w:left="1419" w:leftChars="1" w:hanging="1417" w:hangingChars="504"/>
        <w:rPr>
          <w:rFonts w:hint="eastAsia" w:ascii="宋体" w:hAnsi="宋体" w:eastAsia="宋体" w:cs="宋体"/>
          <w:b w:val="0"/>
          <w:bCs/>
          <w:sz w:val="15"/>
          <w:szCs w:val="15"/>
        </w:rPr>
      </w:pPr>
      <w:r>
        <w:rPr>
          <w:rFonts w:hint="eastAsia" w:ascii="宋体" w:hAnsi="宋体" w:eastAsia="宋体" w:cs="宋体"/>
          <w:b/>
          <w:sz w:val="28"/>
          <w:szCs w:val="28"/>
        </w:rPr>
        <w:t>办理依据：</w:t>
      </w:r>
      <w:r>
        <w:rPr>
          <w:rFonts w:hint="default" w:ascii="宋体" w:hAnsi="宋体"/>
          <w:sz w:val="15"/>
          <w:szCs w:val="15"/>
        </w:rPr>
        <w:t>《中华人民共和国特种设备安全法》（自2014年1月1日起施行）第十四条：“特种设备安全管理人员、检测人员和作业人员应当按照国家有关规定取得相应资格，方可从事相关工作。特种设备安全管理人员、检测人员和作业人员应当严格执行安全技术规范和管理制度，保证特种设备安全”。第五十一条：“特种设备检验、检测机构的检验、检测人员应当经考核，取得检验、检测人员资格，方可从事检验、检测工作。”特种设备检验、检测机构的检验、检测人员不得同时在两个以上检验、检测机构中执业；变更执业机构的，应当依法办理变更手续。 《特种设备安全监察条例》（国务院令第373号公布，第549号修订）第四十四条：“从事本条例规定的监督检验、定期检验、型式试验和无损检测的特种设备检验检测人员应当经国务院特种设备安全监督管理部门组织考核合格，取得检验检测人员证书，方可从事检验检测工作。” 第三十八条:“锅炉、压力容器、电梯、起重机械、客运索道、大型游乐设施、场(厂)内专用机动车辆的作业人员及其相关管理人员(以下统称特种设备作业人员)，应当按照国家有关规定经特种设备安全监督管理部门考核合格，取得国家统格式的特种作业人员证书，方可从事相应的作业或者管理工作。” 《国务院对确需保留的行政审批项目设定行政许可的决定》（国务院令第412号）（2004年7月1日施行）附件第249项：“压力管道的设计、安装、使用、检验单位和人员资格认定，由国家质检总局和县级以上地方人民政府质量技术监督部门实施。” 《国务院关于取消和下放一批行政审批项目的决定》（国发〔2014〕5号）将“特种设备安全管理类人员资格认定”和“特种设备安全操作类作业人员资格认定”下放至省级人民政府质量技术监督部门。</w:t>
      </w:r>
    </w:p>
    <w:p>
      <w:pPr>
        <w:rPr>
          <w:rFonts w:hint="eastAsia" w:ascii="宋体" w:hAnsi="宋体" w:eastAsia="宋体" w:cs="宋体"/>
          <w:b w:val="0"/>
          <w:bCs/>
          <w:sz w:val="28"/>
          <w:szCs w:val="28"/>
          <w:lang w:eastAsia="zh-CN"/>
        </w:rPr>
      </w:pPr>
      <w:r>
        <w:rPr>
          <w:rFonts w:hint="eastAsia" w:ascii="宋体" w:hAnsi="宋体" w:eastAsia="宋体" w:cs="宋体"/>
          <w:b/>
          <w:sz w:val="28"/>
          <w:szCs w:val="28"/>
        </w:rPr>
        <w:t>办理范围：</w:t>
      </w:r>
      <w:r>
        <w:rPr>
          <w:rFonts w:hint="default" w:ascii="宋体" w:hAnsi="宋体"/>
          <w:sz w:val="24"/>
        </w:rPr>
        <w:t>自然人</w:t>
      </w:r>
    </w:p>
    <w:p>
      <w:pPr>
        <w:ind w:left="1687" w:hanging="1687" w:hangingChars="600"/>
        <w:rPr>
          <w:rFonts w:hint="eastAsia" w:ascii="宋体" w:hAnsi="宋体" w:eastAsia="宋体" w:cs="宋体"/>
          <w:b w:val="0"/>
          <w:bCs/>
          <w:sz w:val="40"/>
          <w:szCs w:val="40"/>
          <w:lang w:val="en-US" w:eastAsia="zh-CN"/>
        </w:rPr>
      </w:pPr>
      <w:r>
        <w:rPr>
          <w:rFonts w:hint="eastAsia" w:ascii="宋体" w:hAnsi="宋体" w:eastAsia="宋体" w:cs="宋体"/>
          <w:b/>
          <w:sz w:val="28"/>
          <w:szCs w:val="28"/>
          <w:lang w:eastAsia="zh-CN"/>
        </w:rPr>
        <w:t>受</w:t>
      </w:r>
      <w:r>
        <w:rPr>
          <w:rFonts w:hint="eastAsia" w:ascii="宋体" w:hAnsi="宋体" w:eastAsia="宋体" w:cs="宋体"/>
          <w:b/>
          <w:sz w:val="28"/>
          <w:szCs w:val="28"/>
        </w:rPr>
        <w:t>理条件：</w:t>
      </w:r>
      <w:r>
        <w:rPr>
          <w:rFonts w:hint="eastAsia" w:ascii="宋体" w:hAnsi="宋体" w:eastAsia="宋体" w:cs="宋体"/>
          <w:i w:val="0"/>
          <w:caps w:val="0"/>
          <w:color w:val="3D4B64"/>
          <w:spacing w:val="0"/>
          <w:sz w:val="24"/>
          <w:szCs w:val="24"/>
          <w:shd w:val="clear" w:color="auto" w:fill="F7F7F7"/>
        </w:rPr>
        <w:t>资料齐全、符合法定形式，填写内容完整的，即时受理</w:t>
      </w:r>
    </w:p>
    <w:p>
      <w:pPr>
        <w:widowControl w:val="0"/>
        <w:numPr>
          <w:numId w:val="0"/>
        </w:numPr>
        <w:wordWrap/>
        <w:adjustRightInd/>
        <w:snapToGrid/>
        <w:spacing w:line="120" w:lineRule="auto"/>
        <w:textAlignment w:val="auto"/>
        <w:outlineLvl w:val="9"/>
        <w:rPr>
          <w:rFonts w:hint="default" w:ascii="宋体" w:hAnsi="宋体"/>
          <w:sz w:val="24"/>
        </w:rPr>
      </w:pPr>
      <w:r>
        <w:rPr>
          <w:rFonts w:hint="eastAsia" w:ascii="宋体" w:hAnsi="宋体" w:eastAsia="宋体" w:cs="宋体"/>
          <w:b/>
          <w:sz w:val="28"/>
          <w:szCs w:val="28"/>
        </w:rPr>
        <w:t>申报材料：</w:t>
      </w:r>
      <w:r>
        <w:rPr>
          <w:rFonts w:hint="eastAsia" w:ascii="仿宋" w:hAnsi="仿宋" w:eastAsia="仿宋" w:cs="仿宋"/>
          <w:b/>
          <w:sz w:val="28"/>
          <w:szCs w:val="28"/>
          <w:lang w:val="en-US" w:eastAsia="zh-CN"/>
        </w:rPr>
        <w:t>1、</w:t>
      </w:r>
      <w:r>
        <w:rPr>
          <w:rFonts w:hint="default" w:ascii="宋体" w:hAnsi="宋体"/>
          <w:sz w:val="24"/>
        </w:rPr>
        <w:t>特种设备作业人员资格复审申请表</w:t>
      </w:r>
      <w:r>
        <w:rPr>
          <w:rFonts w:hint="eastAsia" w:ascii="宋体" w:hAnsi="宋体"/>
          <w:sz w:val="24"/>
          <w:lang w:eastAsia="zh-CN"/>
        </w:rPr>
        <w:t>；</w:t>
      </w:r>
      <w:r>
        <w:rPr>
          <w:rFonts w:hint="eastAsia" w:ascii="宋体" w:hAnsi="宋体"/>
          <w:sz w:val="24"/>
          <w:lang w:val="en-US" w:eastAsia="zh-CN"/>
        </w:rPr>
        <w:t>2、</w:t>
      </w:r>
      <w:r>
        <w:rPr>
          <w:rFonts w:hint="default" w:ascii="宋体" w:hAnsi="宋体"/>
          <w:sz w:val="24"/>
        </w:rPr>
        <w:t>考试机构出具的持证项目实际操作考试结果</w:t>
      </w:r>
      <w:r>
        <w:rPr>
          <w:rFonts w:hint="eastAsia" w:ascii="宋体" w:hAnsi="宋体"/>
          <w:sz w:val="24"/>
          <w:lang w:eastAsia="zh-CN"/>
        </w:rPr>
        <w:t>；</w:t>
      </w:r>
      <w:r>
        <w:rPr>
          <w:rFonts w:hint="eastAsia" w:ascii="宋体" w:hAnsi="宋体"/>
          <w:sz w:val="24"/>
          <w:lang w:val="en-US" w:eastAsia="zh-CN"/>
        </w:rPr>
        <w:t>3、</w:t>
      </w:r>
      <w:r>
        <w:rPr>
          <w:rFonts w:hint="default" w:ascii="宋体" w:hAnsi="宋体"/>
          <w:sz w:val="24"/>
        </w:rPr>
        <w:t>特种设备安全管理和作业人员证</w:t>
      </w:r>
      <w:r>
        <w:rPr>
          <w:rFonts w:hint="eastAsia" w:ascii="宋体" w:hAnsi="宋体"/>
          <w:sz w:val="24"/>
          <w:lang w:eastAsia="zh-CN"/>
        </w:rPr>
        <w:t>。</w:t>
      </w:r>
    </w:p>
    <w:p>
      <w:pPr>
        <w:widowControl w:val="0"/>
        <w:numPr>
          <w:numId w:val="0"/>
        </w:numPr>
        <w:wordWrap/>
        <w:adjustRightInd/>
        <w:snapToGrid/>
        <w:spacing w:line="120" w:lineRule="auto"/>
        <w:textAlignment w:val="auto"/>
        <w:outlineLvl w:val="9"/>
        <w:rPr>
          <w:rFonts w:hint="eastAsia" w:ascii="宋体" w:hAnsi="宋体" w:eastAsia="宋体"/>
          <w:sz w:val="24"/>
          <w:lang w:val="en-US" w:eastAsia="zh-CN"/>
        </w:rPr>
      </w:pPr>
      <w:r>
        <w:rPr>
          <w:rFonts w:hint="eastAsia" w:ascii="宋体" w:hAnsi="宋体"/>
          <w:sz w:val="24"/>
          <w:lang w:val="en-US" w:eastAsia="zh-CN"/>
        </w:rPr>
        <w:t xml:space="preserve">           </w:t>
      </w:r>
    </w:p>
    <w:p>
      <w:pPr>
        <w:widowControl w:val="0"/>
        <w:numPr>
          <w:numId w:val="0"/>
        </w:numPr>
        <w:wordWrap/>
        <w:adjustRightInd/>
        <w:snapToGrid/>
        <w:spacing w:line="120" w:lineRule="auto"/>
        <w:ind w:firstLine="1440" w:firstLineChars="600"/>
        <w:textAlignment w:val="auto"/>
        <w:outlineLvl w:val="9"/>
        <w:rPr>
          <w:rFonts w:hint="eastAsia" w:ascii="宋体" w:hAnsi="宋体" w:eastAsia="宋体" w:cs="宋体"/>
          <w:b w:val="0"/>
          <w:bCs/>
          <w:sz w:val="24"/>
          <w:szCs w:val="24"/>
        </w:rPr>
      </w:pPr>
    </w:p>
    <w:p>
      <w:pPr>
        <w:widowControl w:val="0"/>
        <w:numPr>
          <w:numId w:val="0"/>
        </w:numPr>
        <w:wordWrap/>
        <w:adjustRightInd/>
        <w:snapToGrid/>
        <w:spacing w:line="120" w:lineRule="auto"/>
        <w:ind w:firstLine="1440" w:firstLineChars="600"/>
        <w:textAlignment w:val="auto"/>
        <w:outlineLvl w:val="9"/>
        <w:rPr>
          <w:rFonts w:hint="eastAsia" w:ascii="宋体" w:hAnsi="宋体" w:eastAsia="宋体" w:cs="宋体"/>
          <w:b w:val="0"/>
          <w:bCs/>
          <w:sz w:val="24"/>
          <w:szCs w:val="24"/>
        </w:rPr>
      </w:pPr>
    </w:p>
    <w:p>
      <w:pPr>
        <w:rPr>
          <w:rFonts w:hint="eastAsia" w:ascii="宋体" w:hAnsi="宋体" w:eastAsia="宋体" w:cs="宋体"/>
          <w:sz w:val="28"/>
          <w:szCs w:val="28"/>
        </w:rPr>
      </w:pPr>
      <w:r>
        <w:rPr>
          <w:rFonts w:hint="eastAsia" w:ascii="宋体" w:hAnsi="宋体" w:eastAsia="宋体" w:cs="宋体"/>
          <w:b/>
          <w:sz w:val="28"/>
          <w:szCs w:val="28"/>
        </w:rPr>
        <w:t>法定时限：</w:t>
      </w:r>
      <w:r>
        <w:rPr>
          <w:rFonts w:hint="eastAsia" w:ascii="宋体" w:hAnsi="宋体" w:cs="宋体"/>
          <w:b/>
          <w:sz w:val="28"/>
          <w:szCs w:val="28"/>
          <w:lang w:val="en-US" w:eastAsia="zh-CN"/>
        </w:rPr>
        <w:t>10</w:t>
      </w:r>
      <w:r>
        <w:rPr>
          <w:rFonts w:hint="eastAsia" w:ascii="宋体" w:hAnsi="宋体" w:eastAsia="宋体" w:cs="宋体"/>
          <w:sz w:val="28"/>
          <w:szCs w:val="28"/>
        </w:rPr>
        <w:t xml:space="preserve">个工作日        </w:t>
      </w:r>
    </w:p>
    <w:p>
      <w:pPr>
        <w:rPr>
          <w:rFonts w:hint="eastAsia" w:ascii="宋体" w:hAnsi="宋体" w:eastAsia="宋体" w:cs="宋体"/>
          <w:sz w:val="28"/>
          <w:szCs w:val="28"/>
          <w:lang w:val="en-US" w:eastAsia="zh-CN"/>
        </w:rPr>
      </w:pPr>
      <w:r>
        <w:rPr>
          <w:rFonts w:hint="eastAsia" w:ascii="宋体" w:hAnsi="宋体" w:eastAsia="宋体" w:cs="宋体"/>
          <w:b/>
          <w:sz w:val="28"/>
          <w:szCs w:val="28"/>
        </w:rPr>
        <w:t>承诺时限：</w:t>
      </w:r>
      <w:r>
        <w:rPr>
          <w:rFonts w:hint="eastAsia" w:ascii="宋体" w:hAnsi="宋体" w:eastAsia="宋体" w:cs="宋体"/>
          <w:b w:val="0"/>
          <w:bCs/>
          <w:sz w:val="28"/>
          <w:szCs w:val="28"/>
          <w:lang w:val="en-US" w:eastAsia="zh-CN"/>
        </w:rPr>
        <w:t>1个工作日</w:t>
      </w:r>
      <w:r>
        <w:rPr>
          <w:rFonts w:hint="eastAsia" w:ascii="宋体" w:hAnsi="宋体" w:cs="宋体"/>
          <w:b w:val="0"/>
          <w:bCs/>
          <w:sz w:val="28"/>
          <w:szCs w:val="28"/>
          <w:lang w:val="en-US" w:eastAsia="zh-CN"/>
        </w:rPr>
        <w:t>（不含考试时间）</w:t>
      </w:r>
    </w:p>
    <w:p>
      <w:pPr>
        <w:rPr>
          <w:rFonts w:hint="eastAsia" w:ascii="宋体" w:hAnsi="宋体"/>
          <w:sz w:val="28"/>
          <w:szCs w:val="28"/>
        </w:rPr>
      </w:pPr>
      <w:r>
        <w:rPr>
          <w:rFonts w:hint="eastAsia" w:ascii="宋体" w:hAnsi="宋体" w:eastAsia="宋体" w:cs="宋体"/>
          <w:b/>
          <w:sz w:val="28"/>
          <w:szCs w:val="28"/>
        </w:rPr>
        <w:t>收费标准：</w:t>
      </w:r>
      <w:r>
        <w:rPr>
          <w:rFonts w:hint="eastAsia" w:ascii="宋体" w:hAnsi="宋体" w:eastAsia="宋体" w:cs="宋体"/>
          <w:sz w:val="28"/>
          <w:szCs w:val="28"/>
        </w:rPr>
        <w:t>不收费</w:t>
      </w: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val="0"/>
          <w:szCs w:val="21"/>
        </w:rPr>
      </w:pP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61" o:spid="_x0000_s1027" style="position:absolute;left:0;flip:y;margin-left:-2.25pt;margin-top:4pt;height:2.45pt;width:513.65pt;rotation:0f;z-index:251659264;" o:ole="f" fillcolor="#FFFFFF" filled="f" o:preferrelative="t" stroked="t" coordsize="21600,21600">
            <v:fill on="f" color2="#FFFFFF" focus="0%"/>
            <v:stroke weight="3pt" color="#000000" color2="#FFFFFF"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62" o:spid="_x0000_s1028" style="position:absolute;left:0;margin-left:-1.5pt;margin-top:454.9pt;height:0.05pt;width:423pt;rotation:0f;z-index:251658240;" o:ole="f" fillcolor="#FFFFFF" filled="f" o:preferrelative="t" stroked="t" coordsize="21600,21600">
            <v:fill on="f" color2="#FFFFFF" focus="0%"/>
            <v:stroke weight="3pt" color="#000000" color2="#FFFFFF"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p>
    <w:p>
      <w:pPr>
        <w:jc w:val="both"/>
        <w:rPr>
          <w:rFonts w:hint="eastAsia" w:ascii="宋体" w:hAnsi="宋体" w:eastAsia="宋体" w:cs="宋体"/>
          <w:b/>
          <w:bCs/>
          <w:sz w:val="28"/>
          <w:szCs w:val="28"/>
        </w:rPr>
      </w:pPr>
      <w:r>
        <w:rPr>
          <w:rFonts w:hint="eastAsia" w:ascii="宋体" w:hAnsi="宋体" w:cs="宋体"/>
          <w:b/>
          <w:bCs/>
          <w:spacing w:val="-20"/>
          <w:sz w:val="56"/>
          <w:szCs w:val="56"/>
          <w:lang w:val="en-US" w:eastAsia="zh-CN"/>
        </w:rPr>
        <w:t xml:space="preserve">      </w:t>
      </w:r>
      <w:bookmarkStart w:id="0" w:name="_GoBack"/>
      <w:bookmarkEnd w:id="0"/>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r>
        <w:rPr>
          <w:rFonts w:hint="eastAsia" w:ascii="Calibri" w:hAnsi="Calibri" w:eastAsia="宋体" w:cs="Times New Roman"/>
          <w:kern w:val="2"/>
          <w:sz w:val="21"/>
          <w:szCs w:val="24"/>
          <w:lang w:val="en-US" w:eastAsia="zh-CN" w:bidi="ar-SA"/>
        </w:rPr>
        <w:pict>
          <v:shape id="图片 1" o:spid="_x0000_s1029" type="#_x0000_t75" style="position:absolute;left:0;margin-left:40.65pt;margin-top:131.35pt;height:532.75pt;width:468.75pt;mso-position-vertical-relative:page;mso-wrap-distance-bottom:0pt;mso-wrap-distance-left:9pt;mso-wrap-distance-right:9pt;mso-wrap-distance-top:0pt;rotation:0f;z-index:251664384;" o:ole="f" fillcolor="#FFFFFF" filled="f" o:preferrelative="t" stroked="f" coordorigin="0,0" coordsize="21600,21600">
            <v:fill on="f" color2="#FFFFFF" focus="0%"/>
            <v:imagedata gain="65536f" blacklevel="0f" gamma="0" o:title="" r:id="rId5"/>
            <o:lock v:ext="edit" position="f" selection="f" grouping="f" rotation="f" cropping="f" text="f" aspectratio="t"/>
            <w10:wrap type="square"/>
          </v:shape>
        </w:pict>
      </w:r>
      <w:r>
        <w:rPr>
          <w:rFonts w:hint="eastAsia" w:ascii="宋体" w:hAnsi="宋体" w:eastAsia="宋体" w:cs="宋体"/>
          <w:b/>
          <w:bCs/>
          <w:kern w:val="2"/>
          <w:sz w:val="56"/>
          <w:szCs w:val="56"/>
          <w:lang w:val="en-US" w:eastAsia="zh-CN" w:bidi="ar-SA"/>
        </w:rPr>
        <w:pict>
          <v:line id="直接连接符 3" o:spid="_x0000_s1030" style="position:absolute;left:0;flip:y;margin-left:5.25pt;margin-top:3.8pt;height:0.8pt;width:507.1pt;rotation:0f;z-index:251663360;" o:ole="f" fillcolor="#FFFFFF" filled="f" o:preferrelative="t" stroked="t" coordsize="21600,21600">
            <v:fill on="f" color2="#FFFFFF" focus="0%"/>
            <v:stroke weight="3pt" color="#000000" color2="#FFFFFF"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val="0"/>
          <w:szCs w:val="21"/>
        </w:rPr>
      </w:pP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val="0"/>
          <w:szCs w:val="21"/>
        </w:rPr>
      </w:pP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4" o:spid="_x0000_s1031" style="position:absolute;left:0;flip:y;margin-left:-2.25pt;margin-top:4pt;height:2.45pt;width:513.65pt;rotation:0f;z-index:251662336;" o:ole="f" fillcolor="#FFFFFF" filled="f" o:preferrelative="t" stroked="t" coordsize="21600,21600">
            <v:fill on="f" color2="#FFFFFF" focus="0%"/>
            <v:stroke weight="3pt" color="#000000" color2="#FFFFFF"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5" o:spid="_x0000_s1032" style="position:absolute;left:0;margin-left:-1.5pt;margin-top:454.9pt;height:0.05pt;width:423pt;rotation:0f;z-index:251661312;" o:ole="f" fillcolor="#FFFFFF" filled="f" o:preferrelative="t" stroked="t" coordsize="21600,21600">
            <v:fill on="f" color2="#FFFFFF" focus="0%"/>
            <v:stroke weight="3pt" color="#000000" color2="#FFFFFF"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p>
    <w:sectPr>
      <w:pgSz w:w="11906" w:h="16838"/>
      <w:pgMar w:top="850" w:right="850" w:bottom="850" w:left="85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TQxZjZkMzBkZjRiMGU1ZTA3ODA2MmUwYjU3ZjMwMGU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Words>
  <Characters>93</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nw</dc:creator>
  <cp:lastModifiedBy>zdh</cp:lastModifiedBy>
  <dcterms:modified xsi:type="dcterms:W3CDTF">2024-05-21T07:17:09Z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AD55D9582F244A748B1BD098CDCC670E</vt:lpwstr>
  </property>
</Properties>
</file>