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13" o:spid="_x0000_s1026" style="position:absolute;left:0;flip:y;margin-left:0pt;margin-top:38.2pt;height:0.8pt;width:507.1pt;rotation:0f;z-index:251660288;"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val="0"/>
        <w:wordWrap/>
        <w:adjustRightInd/>
        <w:snapToGrid/>
        <w:spacing w:line="520" w:lineRule="exact"/>
        <w:ind w:firstLine="562" w:firstLineChars="200"/>
        <w:textAlignment w:val="auto"/>
        <w:rPr>
          <w:rFonts w:hint="eastAsia" w:ascii="宋体" w:hAnsi="宋体"/>
          <w:b/>
          <w:bCs/>
          <w:sz w:val="28"/>
          <w:szCs w:val="28"/>
        </w:rPr>
      </w:pPr>
      <w:r>
        <w:rPr>
          <w:rFonts w:hint="eastAsia" w:ascii="宋体" w:hAnsi="宋体"/>
          <w:b/>
          <w:sz w:val="28"/>
          <w:szCs w:val="28"/>
        </w:rPr>
        <w:t>项目名称：</w:t>
      </w:r>
      <w:r>
        <w:rPr>
          <w:rFonts w:hint="eastAsia" w:ascii="宋体" w:hAnsi="宋体"/>
          <w:b w:val="0"/>
          <w:bCs/>
          <w:sz w:val="28"/>
          <w:szCs w:val="28"/>
          <w:lang w:eastAsia="zh-CN"/>
        </w:rPr>
        <w:t>分</w:t>
      </w:r>
      <w:r>
        <w:rPr>
          <w:rFonts w:hint="eastAsia" w:ascii="宋体" w:hAnsi="宋体"/>
          <w:b w:val="0"/>
          <w:bCs/>
          <w:sz w:val="28"/>
          <w:szCs w:val="28"/>
        </w:rPr>
        <w:t>公司</w:t>
      </w:r>
      <w:r>
        <w:rPr>
          <w:rFonts w:hint="eastAsia" w:ascii="宋体" w:hAnsi="宋体"/>
          <w:b w:val="0"/>
          <w:bCs/>
          <w:sz w:val="28"/>
          <w:szCs w:val="28"/>
          <w:lang w:eastAsia="zh-CN"/>
        </w:rPr>
        <w:t>注销</w:t>
      </w:r>
      <w:r>
        <w:rPr>
          <w:rFonts w:hint="eastAsia" w:ascii="宋体" w:hAnsi="宋体"/>
          <w:b w:val="0"/>
          <w:bCs/>
          <w:sz w:val="28"/>
          <w:szCs w:val="28"/>
        </w:rPr>
        <w:t>登记</w:t>
      </w:r>
    </w:p>
    <w:p>
      <w:pPr>
        <w:widowControl w:val="0"/>
        <w:wordWrap/>
        <w:adjustRightInd/>
        <w:snapToGrid/>
        <w:spacing w:line="520" w:lineRule="exact"/>
        <w:ind w:firstLine="562" w:firstLineChars="200"/>
        <w:textAlignment w:val="auto"/>
        <w:rPr>
          <w:rFonts w:hint="eastAsia" w:ascii="宋体" w:hAnsi="宋体"/>
          <w:b/>
          <w:sz w:val="28"/>
          <w:szCs w:val="28"/>
        </w:rPr>
      </w:pPr>
      <w:r>
        <w:rPr>
          <w:rFonts w:hint="eastAsia" w:ascii="宋体" w:hAnsi="宋体"/>
          <w:b/>
          <w:sz w:val="28"/>
          <w:szCs w:val="28"/>
        </w:rPr>
        <w:t>办理依据：</w:t>
      </w:r>
      <w:r>
        <w:rPr>
          <w:rFonts w:hint="eastAsia" w:ascii="宋体" w:hAnsi="宋体"/>
          <w:b w:val="0"/>
          <w:bCs/>
          <w:sz w:val="28"/>
          <w:szCs w:val="28"/>
        </w:rPr>
        <w:t>《公司法》、《外商投资法》、《市场主体登记管理条例》</w:t>
      </w:r>
    </w:p>
    <w:p>
      <w:pPr>
        <w:widowControl w:val="0"/>
        <w:wordWrap/>
        <w:adjustRightInd/>
        <w:snapToGrid/>
        <w:spacing w:line="520" w:lineRule="exact"/>
        <w:ind w:firstLine="562" w:firstLineChars="200"/>
        <w:textAlignment w:val="auto"/>
        <w:rPr>
          <w:rFonts w:hint="eastAsia" w:ascii="宋体" w:hAnsi="宋体" w:eastAsia="宋体"/>
          <w:sz w:val="28"/>
          <w:szCs w:val="28"/>
          <w:lang w:eastAsia="zh-CN"/>
        </w:rPr>
      </w:pPr>
      <w:r>
        <w:rPr>
          <w:rFonts w:hint="eastAsia" w:ascii="宋体" w:hAnsi="宋体"/>
          <w:b/>
          <w:sz w:val="28"/>
          <w:szCs w:val="28"/>
        </w:rPr>
        <w:t>办理范围：</w:t>
      </w:r>
      <w:r>
        <w:rPr>
          <w:rFonts w:hint="eastAsia" w:ascii="宋体" w:hAnsi="宋体" w:cs="Arial"/>
          <w:color w:val="333333"/>
          <w:sz w:val="28"/>
          <w:szCs w:val="28"/>
          <w:shd w:val="clear" w:color="auto" w:fill="FFFFFF"/>
          <w:lang w:val="en-US" w:eastAsia="zh-CN"/>
        </w:rPr>
        <w:t>企业</w:t>
      </w:r>
    </w:p>
    <w:p>
      <w:pPr>
        <w:widowControl w:val="0"/>
        <w:wordWrap/>
        <w:adjustRightInd/>
        <w:snapToGrid/>
        <w:spacing w:line="520" w:lineRule="exact"/>
        <w:ind w:firstLine="562" w:firstLineChars="200"/>
        <w:textAlignment w:val="auto"/>
        <w:rPr>
          <w:rFonts w:hint="eastAsia" w:ascii="宋体" w:hAnsi="宋体"/>
          <w:sz w:val="28"/>
          <w:szCs w:val="28"/>
        </w:rPr>
      </w:pPr>
      <w:r>
        <w:rPr>
          <w:rFonts w:hint="eastAsia" w:ascii="宋体" w:hAnsi="宋体"/>
          <w:b/>
          <w:sz w:val="28"/>
          <w:szCs w:val="28"/>
        </w:rPr>
        <w:t>办理条件：</w:t>
      </w:r>
      <w:r>
        <w:rPr>
          <w:rFonts w:hint="eastAsia" w:ascii="宋体" w:hAnsi="宋体"/>
          <w:b w:val="0"/>
          <w:bCs/>
          <w:sz w:val="28"/>
          <w:szCs w:val="28"/>
        </w:rPr>
        <w:t>依照《公司法》、《外商投资法》、《市场主体登记管理条例》设立的分公司申请注销登记适用本规范。</w:t>
      </w:r>
    </w:p>
    <w:p>
      <w:pPr>
        <w:widowControl/>
        <w:wordWrap/>
        <w:overflowPunct w:val="0"/>
        <w:adjustRightInd w:val="0"/>
        <w:snapToGrid w:val="0"/>
        <w:spacing w:line="520" w:lineRule="exact"/>
        <w:ind w:firstLine="562" w:firstLineChars="200"/>
        <w:textAlignment w:val="auto"/>
        <w:rPr>
          <w:rFonts w:hint="eastAsia" w:ascii="宋体" w:hAnsi="宋体"/>
          <w:b/>
          <w:sz w:val="28"/>
          <w:szCs w:val="28"/>
          <w:lang w:val="en-US" w:eastAsia="zh-CN"/>
        </w:rPr>
      </w:pPr>
      <w:r>
        <w:rPr>
          <w:rFonts w:hint="eastAsia" w:ascii="宋体" w:hAnsi="宋体"/>
          <w:b/>
          <w:sz w:val="28"/>
          <w:szCs w:val="28"/>
        </w:rPr>
        <w:t>申报材料</w:t>
      </w:r>
      <w:r>
        <w:rPr>
          <w:rFonts w:hint="eastAsia" w:ascii="宋体" w:hAnsi="宋体"/>
          <w:b/>
          <w:sz w:val="28"/>
          <w:szCs w:val="28"/>
          <w:lang w:val="en-US" w:eastAsia="zh-CN"/>
        </w:rPr>
        <w:t>:</w:t>
      </w:r>
    </w:p>
    <w:p>
      <w:pPr>
        <w:widowControl/>
        <w:wordWrap/>
        <w:overflowPunct w:val="0"/>
        <w:adjustRightInd w:val="0"/>
        <w:snapToGrid w:val="0"/>
        <w:spacing w:line="520" w:lineRule="exact"/>
        <w:ind w:firstLine="480" w:firstLineChars="200"/>
        <w:textAlignment w:val="auto"/>
        <w:rPr>
          <w:rFonts w:ascii="宋体"/>
          <w:sz w:val="24"/>
          <w:szCs w:val="32"/>
        </w:rPr>
      </w:pPr>
      <w:r>
        <w:rPr>
          <w:rFonts w:ascii="宋体" w:hAnsi="宋体"/>
          <w:sz w:val="24"/>
          <w:szCs w:val="32"/>
        </w:rPr>
        <w:t>1.</w:t>
      </w:r>
      <w:r>
        <w:rPr>
          <w:rFonts w:hint="eastAsia" w:ascii="宋体" w:hAnsi="宋体"/>
          <w:sz w:val="24"/>
          <w:szCs w:val="32"/>
        </w:rPr>
        <w:t>《</w:t>
      </w:r>
      <w:r>
        <w:rPr>
          <w:rFonts w:hint="eastAsia" w:ascii="宋体" w:hAnsi="宋体" w:cs="仿宋_GB2312"/>
          <w:sz w:val="24"/>
          <w:szCs w:val="32"/>
        </w:rPr>
        <w:t>分支机构登记（备案）申请书</w:t>
      </w:r>
      <w:r>
        <w:rPr>
          <w:rFonts w:hint="eastAsia" w:ascii="宋体" w:hAnsi="宋体"/>
          <w:sz w:val="24"/>
          <w:szCs w:val="32"/>
        </w:rPr>
        <w:t>》。</w:t>
      </w:r>
    </w:p>
    <w:p>
      <w:pPr>
        <w:widowControl/>
        <w:wordWrap/>
        <w:overflowPunct w:val="0"/>
        <w:spacing w:line="520" w:lineRule="exact"/>
        <w:ind w:firstLine="480" w:firstLineChars="200"/>
        <w:textAlignment w:val="auto"/>
        <w:rPr>
          <w:rFonts w:ascii="宋体" w:hAnsi="宋体"/>
          <w:bCs/>
          <w:sz w:val="24"/>
          <w:szCs w:val="32"/>
        </w:rPr>
      </w:pPr>
      <w:r>
        <w:rPr>
          <w:rFonts w:hint="eastAsia" w:ascii="宋体" w:hAnsi="宋体"/>
          <w:bCs/>
          <w:sz w:val="24"/>
          <w:szCs w:val="32"/>
        </w:rPr>
        <w:t>2.人民法院指定</w:t>
      </w:r>
      <w:r>
        <w:rPr>
          <w:rFonts w:hint="eastAsia" w:ascii="宋体" w:hAnsi="宋体"/>
          <w:sz w:val="24"/>
          <w:szCs w:val="32"/>
        </w:rPr>
        <w:t>清算人、破产管理人申请注销登记的，应提交人民法院指定其为清算人的证明。</w:t>
      </w:r>
    </w:p>
    <w:p>
      <w:pPr>
        <w:widowControl/>
        <w:wordWrap/>
        <w:overflowPunct w:val="0"/>
        <w:adjustRightInd w:val="0"/>
        <w:snapToGrid w:val="0"/>
        <w:spacing w:line="520" w:lineRule="exact"/>
        <w:ind w:firstLine="480" w:firstLineChars="200"/>
        <w:textAlignment w:val="auto"/>
        <w:rPr>
          <w:rFonts w:ascii="宋体" w:hAnsi="宋体" w:eastAsia="宋体" w:cs="Courier New"/>
          <w:sz w:val="24"/>
          <w:szCs w:val="32"/>
        </w:rPr>
      </w:pPr>
      <w:r>
        <w:rPr>
          <w:rFonts w:hint="eastAsia" w:ascii="宋体" w:hAnsi="宋体" w:eastAsia="宋体" w:cs="Courier New"/>
          <w:sz w:val="24"/>
          <w:szCs w:val="32"/>
        </w:rPr>
        <w:t>3.清税证明材料（登记机关和税务部门已共享清税信息的，无需提交纸质清税证明材料）。</w:t>
      </w:r>
    </w:p>
    <w:p>
      <w:pPr>
        <w:widowControl/>
        <w:wordWrap/>
        <w:overflowPunct w:val="0"/>
        <w:adjustRightInd w:val="0"/>
        <w:snapToGrid w:val="0"/>
        <w:spacing w:line="520" w:lineRule="exact"/>
        <w:ind w:firstLine="480" w:firstLineChars="200"/>
        <w:textAlignment w:val="auto"/>
        <w:rPr>
          <w:rFonts w:ascii="宋体" w:hAnsi="宋体" w:eastAsia="宋体" w:cs="Courier New"/>
          <w:sz w:val="24"/>
          <w:szCs w:val="32"/>
        </w:rPr>
      </w:pPr>
      <w:r>
        <w:rPr>
          <w:rFonts w:hint="eastAsia" w:ascii="宋体" w:hAnsi="宋体" w:eastAsia="宋体" w:cs="Courier New"/>
          <w:sz w:val="24"/>
          <w:szCs w:val="32"/>
        </w:rPr>
        <w:t>4.法律、行政法规或者国务院规定注销分公司须经批准的，提交有关批准文件复印件。</w:t>
      </w:r>
    </w:p>
    <w:p>
      <w:pPr>
        <w:widowControl/>
        <w:wordWrap/>
        <w:overflowPunct w:val="0"/>
        <w:spacing w:line="520" w:lineRule="exact"/>
        <w:ind w:firstLine="480" w:firstLineChars="200"/>
        <w:textAlignment w:val="auto"/>
        <w:rPr>
          <w:rFonts w:ascii="宋体" w:hAnsi="宋体"/>
          <w:bCs/>
          <w:sz w:val="36"/>
          <w:szCs w:val="36"/>
        </w:rPr>
      </w:pPr>
      <w:r>
        <w:rPr>
          <w:rFonts w:hint="eastAsia" w:ascii="宋体" w:hAnsi="宋体"/>
          <w:bCs/>
          <w:sz w:val="24"/>
          <w:szCs w:val="32"/>
        </w:rPr>
        <w:t>5</w:t>
      </w:r>
      <w:r>
        <w:rPr>
          <w:rFonts w:ascii="宋体" w:hAnsi="宋体"/>
          <w:bCs/>
          <w:sz w:val="24"/>
          <w:szCs w:val="32"/>
        </w:rPr>
        <w:t>.</w:t>
      </w:r>
      <w:r>
        <w:rPr>
          <w:rFonts w:hint="eastAsia" w:ascii="宋体" w:hAnsi="宋体" w:cs="仿宋_GB2312"/>
          <w:sz w:val="24"/>
          <w:szCs w:val="32"/>
        </w:rPr>
        <w:t>已领取纸质版营业执照的缴回营业执照正、副本。</w:t>
      </w:r>
    </w:p>
    <w:p>
      <w:pPr>
        <w:pStyle w:val="3"/>
        <w:ind w:firstLine="482" w:firstLineChars="200"/>
        <w:rPr>
          <w:rFonts w:hAnsi="宋体"/>
          <w:szCs w:val="24"/>
        </w:rPr>
      </w:pPr>
      <w:r>
        <w:rPr>
          <w:rFonts w:hint="eastAsia" w:hAnsi="宋体"/>
          <w:b/>
        </w:rPr>
        <w:t>注</w:t>
      </w:r>
      <w:r>
        <w:rPr>
          <w:rFonts w:hAnsi="宋体"/>
          <w:szCs w:val="24"/>
        </w:rPr>
        <w:t>：1</w:t>
      </w:r>
      <w:r>
        <w:rPr>
          <w:rFonts w:hint="eastAsia" w:hAnsi="宋体"/>
          <w:szCs w:val="24"/>
        </w:rPr>
        <w:t>.</w:t>
      </w:r>
      <w:r>
        <w:rPr>
          <w:rFonts w:hAnsi="宋体"/>
          <w:szCs w:val="24"/>
        </w:rPr>
        <w:t>依照《公司法》、《外商投资法》、《市场主体登记管理条例》设立的分公司申请注销登记适用本规范。</w:t>
      </w:r>
    </w:p>
    <w:p>
      <w:pPr>
        <w:pStyle w:val="3"/>
        <w:widowControl/>
        <w:overflowPunct w:val="0"/>
        <w:spacing w:line="440" w:lineRule="exact"/>
        <w:ind w:firstLine="482"/>
        <w:rPr>
          <w:rFonts w:hAnsi="宋体"/>
          <w:szCs w:val="24"/>
        </w:rPr>
      </w:pPr>
      <w:r>
        <w:rPr>
          <w:rFonts w:hAnsi="宋体"/>
          <w:szCs w:val="24"/>
        </w:rPr>
        <w:t>2</w:t>
      </w:r>
      <w:r>
        <w:rPr>
          <w:rFonts w:hint="eastAsia" w:hAnsi="宋体"/>
          <w:szCs w:val="24"/>
        </w:rPr>
        <w:t>.</w:t>
      </w:r>
      <w:r>
        <w:rPr>
          <w:rFonts w:hAnsi="宋体"/>
          <w:szCs w:val="24"/>
        </w:rPr>
        <w:t>申请简易注销登记的，提交《简易注销全体投资人承诺书》，提交此规范第1</w:t>
      </w:r>
      <w:r>
        <w:rPr>
          <w:rFonts w:hint="eastAsia" w:hAnsi="宋体"/>
          <w:szCs w:val="24"/>
        </w:rPr>
        <w:t>、5</w:t>
      </w:r>
      <w:r>
        <w:rPr>
          <w:rFonts w:hAnsi="宋体"/>
          <w:szCs w:val="24"/>
        </w:rPr>
        <w:t>项材料。</w:t>
      </w:r>
    </w:p>
    <w:p>
      <w:pPr>
        <w:pStyle w:val="7"/>
        <w:widowControl/>
        <w:numPr>
          <w:numId w:val="0"/>
        </w:numPr>
        <w:overflowPunct w:val="0"/>
        <w:adjustRightInd w:val="0"/>
        <w:snapToGrid w:val="0"/>
        <w:spacing w:line="440" w:lineRule="exact"/>
        <w:ind w:firstLine="480" w:firstLineChars="200"/>
        <w:rPr>
          <w:rFonts w:ascii="宋体" w:hAnsi="宋体" w:cs="Courier New"/>
          <w:sz w:val="24"/>
          <w:szCs w:val="24"/>
        </w:rPr>
      </w:pPr>
      <w:r>
        <w:rPr>
          <w:rFonts w:ascii="宋体" w:hAnsi="宋体" w:cs="Courier New"/>
          <w:sz w:val="24"/>
          <w:szCs w:val="24"/>
        </w:rPr>
        <w:t>3.分公司注销</w:t>
      </w:r>
      <w:r>
        <w:rPr>
          <w:rFonts w:hint="eastAsia" w:ascii="宋体" w:hAnsi="宋体" w:cs="Courier New"/>
          <w:sz w:val="24"/>
          <w:szCs w:val="24"/>
        </w:rPr>
        <w:t>登记</w:t>
      </w:r>
      <w:r>
        <w:rPr>
          <w:rFonts w:ascii="宋体" w:hAnsi="宋体" w:cs="Courier New"/>
          <w:sz w:val="24"/>
          <w:szCs w:val="24"/>
        </w:rPr>
        <w:t>免于提交依法作出注销的决议</w:t>
      </w:r>
      <w:r>
        <w:rPr>
          <w:rFonts w:hint="eastAsia" w:ascii="宋体" w:hAnsi="宋体" w:cs="Courier New"/>
          <w:sz w:val="24"/>
          <w:szCs w:val="24"/>
        </w:rPr>
        <w:t>、</w:t>
      </w:r>
      <w:r>
        <w:rPr>
          <w:rFonts w:ascii="宋体" w:hAnsi="宋体" w:cs="Courier New"/>
          <w:sz w:val="24"/>
          <w:szCs w:val="24"/>
        </w:rPr>
        <w:t>决定，或者被行政机关吊销营业执照、责令关闭、撤销的文件。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7"/>
        <w:widowControl/>
        <w:numPr>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4.公司</w:t>
      </w:r>
      <w:r>
        <w:rPr>
          <w:rFonts w:hint="eastAsia" w:ascii="宋体" w:hAnsi="宋体" w:cs="仿宋_GB2312"/>
          <w:sz w:val="24"/>
          <w:szCs w:val="24"/>
        </w:rPr>
        <w:t>经人民法院裁定宣告破产并终结破产程序或强制清算程序终结，分公司办理注销登记的，提交此规范第1、2、5以及公司经人民法院宣告破产的裁定书、终结破产程序的裁定书原件或人民法院终结强制清算程序的裁定书原件（包括以无法清算或无法全面清算为由作出的裁定）。</w:t>
      </w:r>
    </w:p>
    <w:p>
      <w:pPr>
        <w:pStyle w:val="2"/>
        <w:wordWrap/>
        <w:spacing w:line="520" w:lineRule="exact"/>
        <w:ind w:left="0" w:leftChars="0" w:firstLine="0" w:firstLineChars="0"/>
        <w:textAlignment w:val="auto"/>
        <w:rPr>
          <w:rFonts w:hint="eastAsia"/>
        </w:rPr>
      </w:pPr>
      <w:bookmarkStart w:id="0" w:name="_GoBack"/>
      <w:bookmarkEnd w:id="0"/>
    </w:p>
    <w:p>
      <w:pPr>
        <w:widowControl w:val="0"/>
        <w:wordWrap/>
        <w:adjustRightInd/>
        <w:snapToGrid/>
        <w:spacing w:line="400" w:lineRule="exact"/>
        <w:ind w:firstLine="482" w:firstLineChars="200"/>
        <w:textAlignment w:val="auto"/>
        <w:rPr>
          <w:rFonts w:hint="eastAsia" w:ascii="宋体" w:hAnsi="宋体" w:eastAsia="宋体"/>
          <w:b w:val="0"/>
          <w:bCs/>
          <w:color w:val="000000"/>
          <w:sz w:val="24"/>
          <w:szCs w:val="24"/>
          <w:lang w:val="en-US" w:eastAsia="zh-CN"/>
        </w:rPr>
      </w:pPr>
      <w:r>
        <w:rPr>
          <w:rFonts w:hint="eastAsia" w:ascii="宋体" w:hAnsi="宋体"/>
          <w:b/>
          <w:sz w:val="24"/>
          <w:szCs w:val="24"/>
        </w:rPr>
        <w:t>法定时限：</w:t>
      </w:r>
      <w:r>
        <w:rPr>
          <w:rFonts w:hint="eastAsia" w:ascii="宋体" w:hAnsi="宋体"/>
          <w:b/>
          <w:sz w:val="24"/>
          <w:szCs w:val="24"/>
          <w:lang w:val="en-US" w:eastAsia="zh-CN"/>
        </w:rPr>
        <w:t>15个工作日</w:t>
      </w:r>
    </w:p>
    <w:p>
      <w:pPr>
        <w:widowControl w:val="0"/>
        <w:wordWrap/>
        <w:adjustRightInd/>
        <w:snapToGrid/>
        <w:spacing w:line="400" w:lineRule="exact"/>
        <w:ind w:firstLine="480" w:firstLineChars="200"/>
        <w:textAlignment w:val="auto"/>
        <w:rPr>
          <w:rFonts w:hint="eastAsia" w:ascii="宋体" w:hAnsi="宋体"/>
          <w:sz w:val="24"/>
          <w:szCs w:val="24"/>
        </w:rPr>
      </w:pPr>
      <w:r>
        <w:rPr>
          <w:rFonts w:hint="eastAsia" w:ascii="黑体" w:hAnsi="黑体" w:eastAsia="黑体" w:cs="黑体"/>
          <w:sz w:val="24"/>
          <w:szCs w:val="24"/>
          <w:lang w:eastAsia="zh-CN"/>
        </w:rPr>
        <w:t>省定时限</w:t>
      </w:r>
      <w:r>
        <w:rPr>
          <w:rFonts w:hint="eastAsia" w:ascii="宋体" w:hAnsi="宋体"/>
          <w:sz w:val="24"/>
          <w:szCs w:val="24"/>
          <w:lang w:eastAsia="zh-CN"/>
        </w:rPr>
        <w:t>：</w:t>
      </w:r>
      <w:r>
        <w:rPr>
          <w:rFonts w:hint="eastAsia" w:ascii="宋体" w:hAnsi="宋体"/>
          <w:sz w:val="24"/>
          <w:szCs w:val="24"/>
          <w:lang w:val="en-US" w:eastAsia="zh-CN"/>
        </w:rPr>
        <w:t>1个工作日</w:t>
      </w:r>
      <w:r>
        <w:rPr>
          <w:rFonts w:hint="eastAsia" w:ascii="宋体" w:hAnsi="宋体"/>
          <w:sz w:val="24"/>
          <w:szCs w:val="24"/>
        </w:rPr>
        <w:t xml:space="preserve">     </w:t>
      </w:r>
    </w:p>
    <w:p>
      <w:pPr>
        <w:widowControl w:val="0"/>
        <w:wordWrap/>
        <w:adjustRightInd/>
        <w:snapToGrid/>
        <w:spacing w:line="400" w:lineRule="exact"/>
        <w:ind w:firstLine="482" w:firstLineChars="200"/>
        <w:textAlignment w:val="auto"/>
        <w:rPr>
          <w:rFonts w:hint="eastAsia" w:ascii="宋体" w:hAnsi="宋体"/>
          <w:b w:val="0"/>
          <w:bCs/>
          <w:sz w:val="24"/>
          <w:szCs w:val="24"/>
        </w:rPr>
      </w:pPr>
      <w:r>
        <w:rPr>
          <w:rFonts w:hint="eastAsia" w:ascii="宋体" w:hAnsi="宋体"/>
          <w:b/>
          <w:sz w:val="24"/>
          <w:szCs w:val="24"/>
        </w:rPr>
        <w:t>承诺时限：</w:t>
      </w:r>
      <w:r>
        <w:rPr>
          <w:rFonts w:hint="eastAsia" w:ascii="宋体" w:hAnsi="宋体"/>
          <w:b w:val="0"/>
          <w:bCs/>
          <w:sz w:val="24"/>
          <w:szCs w:val="24"/>
          <w:lang w:eastAsia="zh-CN"/>
        </w:rPr>
        <w:t>材料指导完成，人脸识别签字提交后，</w:t>
      </w:r>
      <w:r>
        <w:rPr>
          <w:rFonts w:hint="eastAsia" w:ascii="宋体" w:hAnsi="宋体"/>
          <w:b w:val="0"/>
          <w:bCs/>
          <w:sz w:val="24"/>
          <w:szCs w:val="24"/>
          <w:lang w:val="en-US" w:eastAsia="zh-CN"/>
        </w:rPr>
        <w:t>1小时完成审核</w:t>
      </w:r>
      <w:r>
        <w:rPr>
          <w:rFonts w:hint="eastAsia" w:ascii="宋体" w:hAnsi="宋体"/>
          <w:b w:val="0"/>
          <w:bCs/>
          <w:sz w:val="24"/>
          <w:szCs w:val="24"/>
        </w:rPr>
        <w:t xml:space="preserve"> </w:t>
      </w:r>
    </w:p>
    <w:p>
      <w:pPr>
        <w:widowControl w:val="0"/>
        <w:wordWrap/>
        <w:adjustRightInd/>
        <w:snapToGrid/>
        <w:spacing w:line="400" w:lineRule="exact"/>
        <w:ind w:firstLine="480" w:firstLineChars="200"/>
        <w:textAlignment w:val="auto"/>
        <w:rPr>
          <w:rFonts w:hint="eastAsia" w:ascii="宋体" w:hAnsi="宋体"/>
          <w:sz w:val="24"/>
          <w:szCs w:val="24"/>
        </w:rPr>
      </w:pPr>
      <w:r>
        <w:rPr>
          <w:rFonts w:hint="eastAsia" w:ascii="黑体" w:hAnsi="黑体" w:eastAsia="黑体" w:cs="黑体"/>
          <w:b w:val="0"/>
          <w:bCs/>
          <w:sz w:val="24"/>
          <w:szCs w:val="24"/>
          <w:lang w:eastAsia="zh-CN"/>
        </w:rPr>
        <w:t>跑动次数</w:t>
      </w:r>
      <w:r>
        <w:rPr>
          <w:rFonts w:hint="eastAsia" w:ascii="宋体" w:hAnsi="宋体"/>
          <w:b w:val="0"/>
          <w:bCs/>
          <w:sz w:val="24"/>
          <w:szCs w:val="24"/>
          <w:lang w:eastAsia="zh-CN"/>
        </w:rPr>
        <w:t>：</w:t>
      </w:r>
      <w:r>
        <w:rPr>
          <w:rFonts w:hint="eastAsia" w:ascii="宋体" w:hAnsi="宋体"/>
          <w:sz w:val="24"/>
          <w:szCs w:val="24"/>
          <w:lang w:val="en-US" w:eastAsia="zh-CN"/>
        </w:rPr>
        <w:t>0次</w:t>
      </w:r>
      <w:r>
        <w:rPr>
          <w:rFonts w:hint="eastAsia" w:ascii="宋体" w:hAnsi="宋体"/>
          <w:sz w:val="24"/>
          <w:szCs w:val="24"/>
        </w:rPr>
        <w:t xml:space="preserve">   </w:t>
      </w:r>
    </w:p>
    <w:p>
      <w:pPr>
        <w:widowControl w:val="0"/>
        <w:wordWrap/>
        <w:adjustRightInd/>
        <w:snapToGrid/>
        <w:spacing w:line="400" w:lineRule="exact"/>
        <w:ind w:firstLine="482" w:firstLineChars="200"/>
        <w:textAlignment w:val="auto"/>
        <w:rPr>
          <w:rFonts w:hint="eastAsia" w:ascii="宋体" w:hAnsi="宋体"/>
          <w:sz w:val="24"/>
          <w:szCs w:val="24"/>
        </w:rPr>
      </w:pPr>
      <w:r>
        <w:rPr>
          <w:rFonts w:hint="eastAsia" w:ascii="宋体" w:hAnsi="宋体"/>
          <w:b/>
          <w:sz w:val="24"/>
          <w:szCs w:val="24"/>
        </w:rPr>
        <w:t>收费标准：</w:t>
      </w:r>
      <w:r>
        <w:rPr>
          <w:rFonts w:hint="eastAsia" w:ascii="宋体" w:hAnsi="宋体"/>
          <w:sz w:val="24"/>
          <w:szCs w:val="24"/>
        </w:rPr>
        <w:t>不收费</w:t>
      </w:r>
    </w:p>
    <w:p>
      <w:pPr>
        <w:widowControl w:val="0"/>
        <w:wordWrap/>
        <w:adjustRightInd/>
        <w:snapToGrid/>
        <w:spacing w:line="400" w:lineRule="exact"/>
        <w:ind w:firstLine="482" w:firstLineChars="200"/>
        <w:textAlignment w:val="auto"/>
        <w:rPr>
          <w:rFonts w:hint="eastAsia" w:ascii="宋体" w:hAnsi="宋体" w:eastAsia="宋体" w:cs="宋体"/>
          <w:b/>
          <w:bCs w:val="0"/>
          <w:szCs w:val="21"/>
        </w:rPr>
      </w:pPr>
      <w:r>
        <w:rPr>
          <w:rFonts w:hint="eastAsia" w:ascii="宋体" w:hAnsi="宋体"/>
          <w:b/>
          <w:sz w:val="24"/>
          <w:szCs w:val="24"/>
          <w:lang w:eastAsia="zh-CN"/>
        </w:rPr>
        <w:t>网</w:t>
      </w:r>
      <w:r>
        <w:rPr>
          <w:rFonts w:hint="eastAsia" w:ascii="宋体" w:hAnsi="宋体"/>
          <w:b/>
          <w:sz w:val="24"/>
          <w:szCs w:val="24"/>
          <w:lang w:val="en-US" w:eastAsia="zh-CN"/>
        </w:rPr>
        <w:t xml:space="preserve">    </w:t>
      </w:r>
      <w:r>
        <w:rPr>
          <w:rFonts w:hint="eastAsia" w:ascii="宋体" w:hAnsi="宋体"/>
          <w:b/>
          <w:sz w:val="24"/>
          <w:szCs w:val="24"/>
          <w:lang w:eastAsia="zh-CN"/>
        </w:rPr>
        <w:t>站</w:t>
      </w:r>
      <w:r>
        <w:rPr>
          <w:rFonts w:hint="eastAsia" w:ascii="宋体" w:hAnsi="宋体"/>
          <w:b/>
          <w:sz w:val="24"/>
          <w:szCs w:val="24"/>
        </w:rPr>
        <w:t>：</w:t>
      </w:r>
      <w:r>
        <w:rPr>
          <w:rFonts w:hint="eastAsia" w:ascii="Segoe UI" w:hAnsi="Segoe UI" w:eastAsia="Segoe UI" w:cs="Segoe UI"/>
          <w:i w:val="0"/>
          <w:caps w:val="0"/>
          <w:spacing w:val="0"/>
          <w:sz w:val="24"/>
          <w:szCs w:val="24"/>
          <w:shd w:val="clear" w:color="auto" w:fill="FFFFFF"/>
        </w:rPr>
        <w:t>http://e.scjg.jl.gov.cn</w:t>
      </w: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61" o:spid="_x0000_s1027" style="position:absolute;left:0;flip:y;margin-left:-2.25pt;margin-top:4pt;height:2.45pt;width:513.65pt;rotation:0f;z-index:251659264;"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62" o:spid="_x0000_s1028" style="position:absolute;left:0;margin-left:-1.5pt;margin-top:454.9pt;height:0.05pt;width:423pt;rotation:0f;z-index:25165824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3" o:spid="_x0000_s1029" style="position:absolute;left:0;flip:y;margin-left:0pt;margin-top:38.2pt;height:0.8pt;width:507.1pt;rotation:0f;z-index:25166336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jc w:val="center"/>
        <w:rPr>
          <w:rFonts w:hint="eastAsia" w:eastAsia="宋体"/>
          <w:b/>
          <w:bCs/>
          <w:sz w:val="32"/>
          <w:szCs w:val="32"/>
          <w:lang w:val="en-US" w:eastAsia="zh-CN"/>
        </w:rPr>
      </w:pPr>
      <w:r>
        <w:rPr>
          <w:rFonts w:hint="eastAsia"/>
          <w:b/>
          <w:bCs/>
          <w:sz w:val="32"/>
          <w:szCs w:val="32"/>
          <w:lang w:val="en-US" w:eastAsia="zh-CN"/>
        </w:rPr>
        <w:t>审批流程图</w:t>
      </w:r>
    </w:p>
    <w:p>
      <w:pPr>
        <w:widowControl w:val="0"/>
        <w:wordWrap/>
        <w:spacing w:line="240" w:lineRule="auto"/>
        <w:ind w:left="0" w:leftChars="0" w:right="0" w:firstLine="0" w:firstLineChars="0"/>
        <w:jc w:val="center"/>
        <w:textAlignment w:val="auto"/>
        <w:outlineLvl w:val="9"/>
        <w:rPr>
          <w:rFonts w:hint="default" w:ascii="宋体" w:hAnsi="宋体" w:eastAsia="宋体" w:cs="宋体"/>
          <w:b/>
          <w:bCs w:val="0"/>
          <w:szCs w:val="21"/>
          <w:lang w:eastAsia="zh-CN"/>
        </w:rPr>
      </w:pPr>
      <w:r>
        <w:rPr>
          <w:rFonts w:hint="default" w:ascii="宋体" w:hAnsi="宋体" w:eastAsia="宋体" w:cs="宋体"/>
          <w:b/>
          <w:bCs w:val="0"/>
          <w:kern w:val="2"/>
          <w:sz w:val="21"/>
          <w:szCs w:val="21"/>
          <w:lang w:eastAsia="zh-CN" w:bidi="ar-SA"/>
        </w:rPr>
        <w:pict>
          <v:shape id="_x0000_i1027" o:spid="_x0000_s1030" alt="分公司注销登记" type="#_x0000_t75" style="height:502.5pt;width:425.25pt;rotation:0f;" o:ole="f" fillcolor="#FFFFFF" filled="f" o:preferrelative="t" stroked="f" coordorigin="0,0" coordsize="21600,21600">
            <v:fill on="f" color2="#FFFFFF" focus="0%"/>
            <v:imagedata gain="65536f" blacklevel="0f" gamma="0" o:title="分公司注销登记" r:id="rId5"/>
            <o:lock v:ext="edit" position="f" selection="f" grouping="f" rotation="f" cropping="f" text="f" aspectratio="t"/>
            <w10:wrap type="none"/>
            <w10:anchorlock/>
          </v:shap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val="0"/>
          <w:szCs w:val="21"/>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4" o:spid="_x0000_s1031" style="position:absolute;left:0;flip:y;margin-left:-2.25pt;margin-top:4pt;height:2.45pt;width:513.65pt;rotation:0f;z-index:251662336;"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5" o:spid="_x0000_s1032" style="position:absolute;left:0;margin-left:-1.5pt;margin-top:454.9pt;height:0.05pt;width:423pt;rotation:0f;z-index:251661312;"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sectPr>
      <w:pgSz w:w="11906" w:h="16838"/>
      <w:pgMar w:top="850" w:right="850" w:bottom="850" w:left="850" w:header="851" w:footer="992"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Cambria">
    <w:panose1 w:val="02040503050406030204"/>
    <w:charset w:val="00"/>
    <w:family w:val="auto"/>
    <w:pitch w:val="default"/>
    <w:sig w:usb0="E00002FF" w:usb1="400004FF" w:usb2="00000000" w:usb3="00000000" w:csb0="2000019F" w:csb1="00000000"/>
  </w:font>
  <w:font w:name="方正小标宋简体">
    <w:altName w:val="微软雅黑"/>
    <w:panose1 w:val="02000000000000000000"/>
    <w:charset w:val="86"/>
    <w:family w:val="auto"/>
    <w:pitch w:val="default"/>
    <w:sig w:usb0="00000000" w:usb1="00000000" w:usb2="00000012" w:usb3="00000000" w:csb0="00040001" w:csb1="00000000"/>
  </w:font>
  <w:font w:name="方正书宋简体">
    <w:altName w:val="宋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paragraph" w:customStyle="1" w:styleId="2">
    <w:name w:val="样式1"/>
    <w:basedOn w:val="1"/>
    <w:next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Plain Text"/>
    <w:basedOn w:val="1"/>
    <w:uiPriority w:val="0"/>
    <w:rPr>
      <w:rFonts w:ascii="宋体" w:hAnsi="Courier New" w:eastAsia="宋体" w:cs="Courier New"/>
      <w:szCs w:val="21"/>
    </w:rPr>
  </w:style>
  <w:style w:type="paragraph" w:styleId="4">
    <w:name w:val="footer"/>
    <w:basedOn w:val="1"/>
    <w:uiPriority w:val="0"/>
    <w:pPr>
      <w:tabs>
        <w:tab w:val="center" w:pos="4153"/>
        <w:tab w:val="right" w:pos="8306"/>
      </w:tabs>
      <w:snapToGrid w:val="0"/>
      <w:jc w:val="left"/>
    </w:pPr>
    <w:rPr>
      <w:sz w:val="18"/>
      <w:szCs w:val="18"/>
    </w:rPr>
  </w:style>
  <w:style w:type="character" w:styleId="6">
    <w:name w:val="Hyperlink"/>
    <w:qFormat/>
    <w:uiPriority w:val="0"/>
    <w:rPr>
      <w:color w:val="0000FF"/>
      <w:u w:val="single"/>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471</Words>
  <Characters>553</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nw</dc:creator>
  <cp:lastModifiedBy>tianw</cp:lastModifiedBy>
  <dcterms:modified xsi:type="dcterms:W3CDTF">2024-09-13T02:24:13Z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74FF964BC43A432C8E5186DF824D4A29</vt:lpwstr>
  </property>
</Properties>
</file>