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spacing w:line="260" w:lineRule="exact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ordWrap/>
        <w:ind w:firstLine="562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个人独资企业注销登记</w:t>
      </w:r>
      <w:r>
        <w:rPr>
          <w:rFonts w:hint="eastAsia" w:ascii="Segoe UI" w:hAnsi="Segoe UI" w:eastAsia="宋体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（简易注销）</w:t>
      </w:r>
    </w:p>
    <w:p>
      <w:pPr>
        <w:wordWrap/>
        <w:ind w:left="2" w:leftChars="1" w:firstLine="562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《个人独资企业法》、《市场主体登记管理条例》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sz w:val="28"/>
          <w:szCs w:val="28"/>
          <w:lang w:eastAsia="zh-CN"/>
        </w:rPr>
        <w:t>企业</w:t>
      </w:r>
    </w:p>
    <w:p>
      <w:pPr>
        <w:pStyle w:val="3"/>
        <w:widowControl/>
        <w:wordWrap/>
        <w:spacing w:line="440" w:lineRule="exact"/>
        <w:ind w:firstLine="562" w:firstLineChars="200"/>
        <w:jc w:val="left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依照《个人独资企业法》、《市场主体登记管理条例》、原《个人独资企业登记管理办法》设立的个人独资企业申请注销登记适用本规范。</w:t>
      </w:r>
    </w:p>
    <w:p>
      <w:pPr>
        <w:widowControl/>
        <w:wordWrap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numPr>
          <w:numId w:val="0"/>
        </w:numPr>
        <w:wordWrap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36"/>
        </w:rPr>
      </w:pPr>
      <w:r>
        <w:rPr>
          <w:rFonts w:hint="eastAsia" w:ascii="宋体" w:hAnsi="宋体" w:cs="仿宋_GB2312"/>
          <w:sz w:val="28"/>
          <w:szCs w:val="36"/>
          <w:lang w:val="en-US" w:eastAsia="zh-CN"/>
        </w:rPr>
        <w:t>1.</w:t>
      </w:r>
      <w:r>
        <w:rPr>
          <w:rFonts w:hint="eastAsia" w:ascii="宋体" w:hAnsi="宋体" w:cs="仿宋_GB2312"/>
          <w:sz w:val="28"/>
          <w:szCs w:val="36"/>
        </w:rPr>
        <w:t>《企业注销登记申请书》</w:t>
      </w:r>
      <w:r>
        <w:rPr>
          <w:rFonts w:hint="eastAsia" w:ascii="宋体" w:hAnsi="宋体"/>
          <w:bCs/>
          <w:sz w:val="28"/>
          <w:szCs w:val="36"/>
        </w:rPr>
        <w:t>。</w:t>
      </w:r>
    </w:p>
    <w:p>
      <w:pPr>
        <w:widowControl/>
        <w:numPr>
          <w:numId w:val="0"/>
        </w:numPr>
        <w:wordWrap/>
        <w:overflowPunct w:val="0"/>
        <w:spacing w:line="440" w:lineRule="exact"/>
        <w:ind w:firstLine="560" w:firstLineChars="200"/>
        <w:textAlignment w:val="auto"/>
        <w:rPr>
          <w:rFonts w:hint="eastAsia" w:ascii="宋体"/>
          <w:bCs/>
          <w:sz w:val="28"/>
          <w:szCs w:val="36"/>
        </w:rPr>
      </w:pPr>
      <w:r>
        <w:rPr>
          <w:rFonts w:hint="eastAsia" w:ascii="宋体"/>
          <w:bCs/>
          <w:sz w:val="28"/>
          <w:szCs w:val="36"/>
          <w:lang w:val="en-US" w:eastAsia="zh-CN"/>
        </w:rPr>
        <w:t>2.</w:t>
      </w:r>
      <w:r>
        <w:rPr>
          <w:rFonts w:hint="eastAsia" w:ascii="宋体"/>
          <w:bCs/>
          <w:sz w:val="28"/>
          <w:szCs w:val="36"/>
        </w:rPr>
        <w:t>已领取纸质版营业执照的缴回营业执照正、副本。</w:t>
      </w:r>
    </w:p>
    <w:p>
      <w:pPr>
        <w:widowControl/>
        <w:numPr>
          <w:numId w:val="0"/>
        </w:numPr>
        <w:wordWrap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3.</w:t>
      </w:r>
      <w:r>
        <w:rPr>
          <w:rFonts w:hint="eastAsia" w:ascii="宋体" w:hAnsi="宋体"/>
          <w:sz w:val="28"/>
          <w:szCs w:val="36"/>
        </w:rPr>
        <w:t>《简易注销全体投资人承诺书》</w:t>
      </w:r>
      <w:r>
        <w:rPr>
          <w:rFonts w:hint="eastAsia" w:ascii="宋体" w:hAnsi="宋体"/>
          <w:sz w:val="28"/>
          <w:szCs w:val="36"/>
          <w:lang w:eastAsia="zh-CN"/>
        </w:rPr>
        <w:t>。</w:t>
      </w:r>
    </w:p>
    <w:p>
      <w:pPr>
        <w:pStyle w:val="2"/>
        <w:wordWrap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清税证明材料（登记机关和税务部门已共享清税信息的，无需提交纸质清税证明材料）。</w:t>
      </w:r>
    </w:p>
    <w:p>
      <w:pPr>
        <w:wordWrap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15个工作日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收费标准：不收费</w:t>
      </w: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pict>
          <v:shape id="_x0000_s1035" o:spid="_x0000_s1030" alt="个人独资企业注销登记（简易注销）流程图" type="#_x0000_t75" style="position:absolute;left:0;margin-left:19.5pt;margin-top:26.9pt;height:533.55pt;width:471.5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个人独资企业注销登记（简易注销）流程图" r:id="rId5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504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2024-09-13T02:34:12Z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