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adjustRightInd/>
        <w:snapToGrid/>
        <w:spacing w:before="0" w:after="0" w:line="320" w:lineRule="exact"/>
        <w:ind w:right="0" w:firstLine="480" w:firstLineChars="200"/>
        <w:jc w:val="both"/>
        <w:textAlignment w:val="auto"/>
        <w:outlineLvl w:val="9"/>
        <w:rPr>
          <w:rFonts w:hint="eastAsia"/>
          <w:b w:val="0"/>
          <w:bCs w:val="0"/>
          <w:sz w:val="24"/>
          <w:szCs w:val="24"/>
        </w:rPr>
      </w:pPr>
      <w:r>
        <w:rPr>
          <w:rFonts w:hint="eastAsia"/>
          <w:b/>
          <w:bCs/>
          <w:sz w:val="24"/>
          <w:szCs w:val="24"/>
          <w:lang w:eastAsia="zh-CN"/>
        </w:rPr>
        <w:t>项目名称</w:t>
      </w:r>
      <w:r>
        <w:rPr>
          <w:rFonts w:hint="eastAsia"/>
          <w:b w:val="0"/>
          <w:bCs w:val="0"/>
          <w:sz w:val="24"/>
          <w:szCs w:val="24"/>
        </w:rPr>
        <w:t>：</w:t>
      </w:r>
      <w:r>
        <w:rPr>
          <w:rFonts w:hint="eastAsia" w:ascii="宋体" w:hAnsi="宋体" w:eastAsia="宋体" w:cs="仿宋_GB2312"/>
          <w:kern w:val="2"/>
          <w:sz w:val="21"/>
          <w:szCs w:val="24"/>
          <w:lang w:val="en-US" w:eastAsia="zh-CN" w:bidi="ar-SA"/>
        </w:rPr>
        <w:t>公司注销登记</w:t>
      </w:r>
    </w:p>
    <w:p>
      <w:pPr>
        <w:widowControl w:val="0"/>
        <w:wordWrap/>
        <w:adjustRightInd/>
        <w:snapToGrid/>
        <w:spacing w:before="0" w:after="0" w:line="320" w:lineRule="exact"/>
        <w:ind w:right="0" w:firstLine="480" w:firstLineChars="200"/>
        <w:jc w:val="both"/>
        <w:textAlignment w:val="auto"/>
        <w:outlineLvl w:val="9"/>
        <w:rPr>
          <w:rFonts w:hint="eastAsia"/>
          <w:b w:val="0"/>
          <w:bCs w:val="0"/>
          <w:sz w:val="24"/>
          <w:szCs w:val="24"/>
          <w:lang w:eastAsia="zh-CN"/>
        </w:rPr>
      </w:pPr>
      <w:r>
        <w:rPr>
          <w:rFonts w:hint="eastAsia"/>
          <w:b/>
          <w:bCs/>
          <w:sz w:val="24"/>
          <w:szCs w:val="24"/>
          <w:lang w:eastAsia="zh-CN"/>
        </w:rPr>
        <w:t>办理依据</w:t>
      </w:r>
      <w:r>
        <w:rPr>
          <w:rFonts w:hint="eastAsia"/>
          <w:b w:val="0"/>
          <w:bCs w:val="0"/>
          <w:sz w:val="24"/>
          <w:szCs w:val="24"/>
        </w:rPr>
        <w:t>：</w:t>
      </w:r>
      <w:r>
        <w:rPr>
          <w:rFonts w:hint="eastAsia" w:ascii="宋体" w:hAnsi="宋体" w:eastAsia="宋体" w:cs="仿宋_GB2312"/>
          <w:kern w:val="2"/>
          <w:sz w:val="21"/>
          <w:szCs w:val="24"/>
          <w:lang w:val="en-US" w:eastAsia="zh-CN" w:bidi="ar-SA"/>
        </w:rPr>
        <w:t>《公司法》、《外商投资法》、《市场主体登记管理条例》</w:t>
      </w:r>
    </w:p>
    <w:p>
      <w:pPr>
        <w:widowControl w:val="0"/>
        <w:wordWrap/>
        <w:adjustRightInd/>
        <w:snapToGrid/>
        <w:spacing w:before="0" w:after="0" w:line="320" w:lineRule="exact"/>
        <w:ind w:right="0" w:firstLine="480" w:firstLineChars="200"/>
        <w:jc w:val="both"/>
        <w:textAlignment w:val="auto"/>
        <w:outlineLvl w:val="9"/>
        <w:rPr>
          <w:rFonts w:hint="eastAsia"/>
          <w:b w:val="0"/>
          <w:bCs w:val="0"/>
          <w:sz w:val="24"/>
          <w:szCs w:val="24"/>
        </w:rPr>
      </w:pPr>
      <w:r>
        <w:rPr>
          <w:rFonts w:hint="eastAsia"/>
          <w:b/>
          <w:bCs/>
          <w:sz w:val="24"/>
          <w:szCs w:val="24"/>
          <w:lang w:eastAsia="zh-CN"/>
        </w:rPr>
        <w:t>办理范围</w:t>
      </w:r>
      <w:r>
        <w:rPr>
          <w:rFonts w:hint="eastAsia"/>
          <w:b w:val="0"/>
          <w:bCs w:val="0"/>
          <w:sz w:val="24"/>
          <w:szCs w:val="24"/>
        </w:rPr>
        <w:t>：</w:t>
      </w:r>
      <w:r>
        <w:rPr>
          <w:rFonts w:hint="eastAsia" w:ascii="宋体" w:hAnsi="宋体" w:eastAsia="宋体" w:cs="仿宋_GB2312"/>
          <w:kern w:val="2"/>
          <w:sz w:val="21"/>
          <w:szCs w:val="24"/>
          <w:lang w:val="en-US" w:eastAsia="zh-CN" w:bidi="ar-SA"/>
        </w:rPr>
        <w:t>企业</w:t>
      </w:r>
    </w:p>
    <w:p>
      <w:pPr>
        <w:widowControl w:val="0"/>
        <w:wordWrap/>
        <w:adjustRightInd/>
        <w:snapToGrid/>
        <w:spacing w:before="0" w:after="0" w:line="320" w:lineRule="exact"/>
        <w:ind w:right="0" w:firstLine="480" w:firstLineChars="200"/>
        <w:jc w:val="both"/>
        <w:textAlignment w:val="auto"/>
        <w:outlineLvl w:val="9"/>
        <w:rPr>
          <w:rFonts w:hint="eastAsia"/>
          <w:b/>
          <w:bCs/>
          <w:sz w:val="24"/>
          <w:szCs w:val="24"/>
        </w:rPr>
      </w:pPr>
      <w:r>
        <w:rPr>
          <w:rFonts w:hint="eastAsia"/>
          <w:b/>
          <w:bCs/>
          <w:sz w:val="24"/>
          <w:szCs w:val="24"/>
          <w:lang w:eastAsia="zh-CN"/>
        </w:rPr>
        <w:t>办理条件</w:t>
      </w:r>
      <w:r>
        <w:rPr>
          <w:rFonts w:hint="eastAsia"/>
          <w:b w:val="0"/>
          <w:bCs w:val="0"/>
          <w:sz w:val="24"/>
          <w:szCs w:val="24"/>
        </w:rPr>
        <w:t>：</w:t>
      </w:r>
      <w:r>
        <w:rPr>
          <w:rFonts w:hint="eastAsia" w:ascii="宋体" w:hAnsi="宋体" w:eastAsia="宋体" w:cs="仿宋_GB2312"/>
          <w:kern w:val="2"/>
          <w:sz w:val="21"/>
          <w:szCs w:val="24"/>
          <w:lang w:val="en-US" w:eastAsia="zh-CN" w:bidi="ar-SA"/>
        </w:rPr>
        <w:t>依照《公司法》、《外商投资法》、《市场主体登记管理条例》设立的公司申请注销登记适用本规范。</w:t>
      </w:r>
    </w:p>
    <w:p>
      <w:pPr>
        <w:wordWrap/>
        <w:spacing w:before="0" w:after="0" w:line="320" w:lineRule="exact"/>
        <w:ind w:right="0" w:firstLine="480" w:firstLineChars="200"/>
        <w:jc w:val="both"/>
        <w:textAlignment w:val="auto"/>
        <w:outlineLvl w:val="9"/>
        <w:rPr>
          <w:rFonts w:hint="eastAsia"/>
          <w:b/>
          <w:bCs/>
          <w:sz w:val="24"/>
          <w:szCs w:val="24"/>
          <w:lang w:eastAsia="zh-CN"/>
        </w:rPr>
      </w:pPr>
      <w:r>
        <w:rPr>
          <w:rFonts w:hint="eastAsia"/>
          <w:b/>
          <w:bCs/>
          <w:sz w:val="24"/>
          <w:szCs w:val="24"/>
          <w:lang w:eastAsia="zh-CN"/>
        </w:rPr>
        <w:t>申请材料：</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1.《企业注销登记申请书》。</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2.公司依照《公司法》作出解散的决议或者决定，人民法院的破产裁定、解散裁判文书，行政机关责令关闭、公司依法被吊销营业执照或被撤销的文件。</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3.股东会、股东大会、一人有限责任公司的股东或人民法院、公司批准机关确认的清算报告。</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◆有限责任公司由代表三分之二以上表决权的股东签署确认；一人有限责任公司由股东签署确认；股份有限公司由股东大会会议主持人及出席会议的董事签字确认。</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◆国有独资公司由国务院、地方人民政府或者其授权的本级人民政府国有资产监督管理机构签署确认。</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4.国有独资公司申请注销登记，还应当提交国有资产监督管理机构的决定。其中，国务院确定的重要的国有独资公司，还应当提交本级人民政府的批准文件复印件。</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5.清税证明材料（登记机关和税务部门已共享清税信息的，无需提交纸质清税证明材料）。</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bookmarkStart w:id="0" w:name="OLE_LINK3"/>
      <w:r>
        <w:rPr>
          <w:rFonts w:hint="eastAsia" w:ascii="宋体" w:hAnsi="宋体" w:eastAsia="宋体" w:cs="仿宋_GB2312"/>
          <w:kern w:val="2"/>
          <w:sz w:val="21"/>
          <w:szCs w:val="24"/>
          <w:lang w:val="en-US" w:eastAsia="zh-CN" w:bidi="ar-SA"/>
        </w:rPr>
        <w:t>6.仅通过报纸发布债权人公告的，需要提交依法刊登公告的报纸样张。</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7.清算人、破产管理人申请注销登记的，应提交人民法院指定其为清算人、破产管理人的证明。</w:t>
      </w:r>
    </w:p>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8.法律、行政法规和国务院决定规定注销公司必须报经批准的，提交有关批准文件的复印件。</w:t>
      </w:r>
    </w:p>
    <w:bookmarkEnd w:id="0"/>
    <w:p>
      <w:pPr>
        <w:pStyle w:val="8"/>
        <w:widowControl/>
        <w:numPr>
          <w:numId w:val="0"/>
        </w:numPr>
        <w:wordWrap/>
        <w:overflowPunct w:val="0"/>
        <w:adjustRightInd w:val="0"/>
        <w:snapToGrid w:val="0"/>
        <w:spacing w:before="0" w:after="0" w:line="320" w:lineRule="exact"/>
        <w:ind w:left="480" w:leftChars="0"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9.已领取纸质版营业执照的缴回营业执照正、副本。</w:t>
      </w:r>
    </w:p>
    <w:p>
      <w:pPr>
        <w:wordWrap/>
        <w:overflowPunct w:val="0"/>
        <w:spacing w:before="0" w:after="0" w:line="320" w:lineRule="exact"/>
        <w:ind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b/>
          <w:bCs/>
          <w:kern w:val="2"/>
          <w:sz w:val="21"/>
          <w:szCs w:val="24"/>
          <w:lang w:val="en-US" w:eastAsia="zh-CN" w:bidi="ar-SA"/>
        </w:rPr>
        <w:t>注：</w:t>
      </w:r>
      <w:r>
        <w:rPr>
          <w:rFonts w:hint="eastAsia" w:ascii="宋体" w:hAnsi="宋体" w:eastAsia="宋体" w:cs="仿宋_GB2312"/>
          <w:kern w:val="2"/>
          <w:sz w:val="21"/>
          <w:szCs w:val="24"/>
          <w:lang w:val="en-US" w:eastAsia="zh-CN" w:bidi="ar-SA"/>
        </w:rPr>
        <w:t>1.依照《公司法》、《外商投资法》、《市场主体登记管理条例》设立的公司申请注销登记适用本规范。</w:t>
      </w:r>
    </w:p>
    <w:p>
      <w:pPr>
        <w:pStyle w:val="8"/>
        <w:widowControl/>
        <w:wordWrap/>
        <w:overflowPunct w:val="0"/>
        <w:adjustRightInd w:val="0"/>
        <w:snapToGrid w:val="0"/>
        <w:spacing w:before="0" w:after="0" w:line="320" w:lineRule="exact"/>
        <w:ind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8"/>
        <w:widowControl/>
        <w:wordWrap/>
        <w:overflowPunct w:val="0"/>
        <w:adjustRightInd w:val="0"/>
        <w:snapToGrid w:val="0"/>
        <w:spacing w:before="0" w:after="0" w:line="320" w:lineRule="exact"/>
        <w:ind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3.申请简易注销登记的，提交《简易注销全体投资人承诺书》，提交此规范第1、9项材料。非上市股份有限公司申请简易注销的，还需提交公司全体股东名册。</w:t>
      </w:r>
    </w:p>
    <w:p>
      <w:pPr>
        <w:widowControl/>
        <w:wordWrap/>
        <w:adjustRightInd w:val="0"/>
        <w:snapToGrid w:val="0"/>
        <w:spacing w:before="0" w:after="0" w:line="320" w:lineRule="exact"/>
        <w:ind w:right="0" w:firstLine="480" w:firstLineChars="200"/>
        <w:jc w:val="both"/>
        <w:textAlignment w:val="auto"/>
        <w:outlineLvl w:val="9"/>
        <w:rPr>
          <w:rFonts w:hint="eastAsia" w:ascii="宋体" w:hAnsi="宋体" w:eastAsia="宋体" w:cs="仿宋_GB2312"/>
          <w:kern w:val="2"/>
          <w:sz w:val="21"/>
          <w:szCs w:val="24"/>
          <w:lang w:val="en-US" w:eastAsia="zh-CN" w:bidi="ar-SA"/>
        </w:rPr>
      </w:pPr>
      <w:r>
        <w:rPr>
          <w:rFonts w:hint="eastAsia" w:ascii="宋体" w:hAnsi="宋体" w:eastAsia="宋体" w:cs="仿宋_GB2312"/>
          <w:kern w:val="2"/>
          <w:sz w:val="21"/>
          <w:szCs w:val="24"/>
          <w:lang w:val="en-US" w:eastAsia="zh-CN" w:bidi="ar-SA"/>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pStyle w:val="2"/>
        <w:rPr>
          <w:rFonts w:hint="eastAsia"/>
          <w:lang w:val="en-US" w:eastAsia="zh-CN"/>
        </w:rPr>
      </w:pPr>
      <w:bookmarkStart w:id="1" w:name="_GoBack"/>
      <w:bookmarkEnd w:id="1"/>
    </w:p>
    <w:p>
      <w:pPr>
        <w:widowControl w:val="0"/>
        <w:wordWrap/>
        <w:adjustRightInd/>
        <w:snapToGrid/>
        <w:spacing w:before="0" w:after="0" w:line="320" w:lineRule="exact"/>
        <w:ind w:left="2" w:leftChars="1" w:right="0" w:firstLine="480" w:firstLineChars="200"/>
        <w:jc w:val="both"/>
        <w:textAlignment w:val="auto"/>
        <w:outlineLvl w:val="9"/>
        <w:rPr>
          <w:rFonts w:hint="eastAsia" w:ascii="宋体" w:hAnsi="宋体" w:eastAsia="宋体"/>
          <w:color w:val="000000"/>
          <w:sz w:val="24"/>
          <w:szCs w:val="24"/>
          <w:lang w:eastAsia="zh-CN"/>
        </w:rPr>
      </w:pPr>
      <w:r>
        <w:rPr>
          <w:rFonts w:hint="eastAsia" w:ascii="宋体" w:hAnsi="宋体"/>
          <w:b/>
          <w:sz w:val="24"/>
          <w:szCs w:val="24"/>
        </w:rPr>
        <w:t>法定时限：</w:t>
      </w:r>
      <w:r>
        <w:rPr>
          <w:rFonts w:hint="eastAsia" w:ascii="宋体" w:hAnsi="宋体"/>
          <w:b w:val="0"/>
          <w:bCs/>
          <w:sz w:val="24"/>
          <w:szCs w:val="24"/>
          <w:lang w:val="en-US" w:eastAsia="zh-CN"/>
        </w:rPr>
        <w:t>15个工作日</w:t>
      </w:r>
    </w:p>
    <w:p>
      <w:pPr>
        <w:widowControl w:val="0"/>
        <w:wordWrap/>
        <w:adjustRightInd/>
        <w:snapToGrid/>
        <w:spacing w:before="0" w:after="0" w:line="320" w:lineRule="exact"/>
        <w:ind w:right="0" w:firstLine="480" w:firstLineChars="200"/>
        <w:jc w:val="both"/>
        <w:textAlignment w:val="auto"/>
        <w:outlineLvl w:val="9"/>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before="0" w:after="0" w:line="320" w:lineRule="exact"/>
        <w:ind w:right="0" w:firstLine="480" w:firstLineChars="200"/>
        <w:jc w:val="both"/>
        <w:textAlignment w:val="auto"/>
        <w:outlineLvl w:val="9"/>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before="0" w:after="0" w:line="320" w:lineRule="exact"/>
        <w:ind w:right="0" w:firstLine="480" w:firstLineChars="200"/>
        <w:jc w:val="both"/>
        <w:textAlignment w:val="auto"/>
        <w:outlineLvl w:val="9"/>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before="0" w:after="0" w:line="320" w:lineRule="exact"/>
        <w:ind w:right="0" w:firstLine="480" w:firstLineChars="200"/>
        <w:jc w:val="both"/>
        <w:textAlignment w:val="auto"/>
        <w:outlineLvl w:val="9"/>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before="0" w:after="0" w:line="320" w:lineRule="exact"/>
        <w:ind w:right="0" w:firstLine="480" w:firstLineChars="200"/>
        <w:jc w:val="both"/>
        <w:textAlignment w:val="auto"/>
        <w:outlineLvl w:val="9"/>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r>
        <w:rPr>
          <w:rFonts w:hint="eastAsia"/>
          <w:sz w:val="24"/>
          <w:szCs w:val="24"/>
        </w:rPr>
        <w:t xml:space="preserve"> </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8" style="position:absolute;left:0;flip:y;margin-left:0pt;margin-top:38.2pt;height:0.8pt;width:507.1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kern w:val="2"/>
          <w:sz w:val="21"/>
          <w:szCs w:val="21"/>
          <w:lang w:eastAsia="zh-CN" w:bidi="ar-SA"/>
        </w:rPr>
        <w:pict>
          <v:shape id="_x0000_i1027" o:spid="_x0000_s1029" alt="公司注销登记" type="#_x0000_t75" style="height:514.95pt;width:430.05pt;rotation:0f;" o:ole="f" fillcolor="#FFFFFF" filled="f" o:preferrelative="t" stroked="f" coordorigin="0,0" coordsize="21600,21600">
            <v:fill on="f" color2="#FFFFFF" focus="0%"/>
            <v:imagedata gain="65536f" blacklevel="0f" gamma="0" o:title="公司注销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0" style="position:absolute;left:0;flip:y;margin-left:-2.25pt;margin-top:4pt;height:2.45pt;width:513.65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1" style="position:absolute;left:0;margin-left:-1.5pt;margin-top:454.9pt;height:0.05pt;width:423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6">
    <w:name w:val="Char Char Char Char Char Char Char"/>
    <w:basedOn w:val="1"/>
    <w:link w:val="5"/>
    <w:qFormat/>
    <w:uiPriority w:val="0"/>
    <w:pPr>
      <w:spacing w:before="100" w:beforeAutospacing="1" w:after="100" w:afterAutospacing="1"/>
    </w:pPr>
  </w:style>
  <w:style w:type="character" w:styleId="7">
    <w:name w:val="Hyperlink"/>
    <w:basedOn w:val="5"/>
    <w:qFormat/>
    <w:uiPriority w:val="0"/>
    <w:rPr>
      <w:color w:val="000000"/>
      <w:u w:val="none"/>
    </w:rPr>
  </w:style>
  <w:style w:type="paragraph" w:customStyle="1" w:styleId="8">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882</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2024-09-13T02:44:02Z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