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内资合伙企业注销登记（简易注销）</w:t>
      </w:r>
    </w:p>
    <w:p>
      <w:pPr>
        <w:wordWrap/>
        <w:adjustRightInd/>
        <w:snapToGrid/>
        <w:ind w:left="2" w:leftChars="1"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《合伙企业法》、《市场主体登记管理条例》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sz w:val="28"/>
          <w:szCs w:val="28"/>
          <w:lang w:eastAsia="zh-CN"/>
        </w:rPr>
        <w:t>企业</w:t>
      </w:r>
    </w:p>
    <w:p>
      <w:pPr>
        <w:numPr>
          <w:numId w:val="0"/>
        </w:numPr>
        <w:wordWrap/>
        <w:adjustRightInd/>
        <w:snapToGrid/>
        <w:ind w:firstLine="562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依照《合伙企业法》、《市场主体登记管理条例》、原《合伙企业登记管理办法》设立的合伙企业注销登记适用本规范。</w:t>
      </w:r>
    </w:p>
    <w:p>
      <w:pPr>
        <w:widowControl/>
        <w:wordWrap/>
        <w:overflowPunct w:val="0"/>
        <w:adjustRightInd/>
        <w:snapToGrid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wordWrap/>
        <w:overflowPunct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仿宋_GB2312"/>
          <w:sz w:val="24"/>
          <w:szCs w:val="32"/>
        </w:rPr>
      </w:pPr>
      <w:r>
        <w:rPr>
          <w:rFonts w:hint="eastAsia" w:ascii="宋体" w:hAnsi="宋体" w:cs="仿宋_GB2312"/>
          <w:sz w:val="24"/>
          <w:szCs w:val="32"/>
        </w:rPr>
        <w:t>1.《企业注销登记申请书》。</w:t>
      </w:r>
    </w:p>
    <w:p>
      <w:pPr>
        <w:widowControl/>
        <w:wordWrap/>
        <w:overflowPunct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仿宋_GB2312"/>
          <w:sz w:val="24"/>
          <w:szCs w:val="32"/>
        </w:rPr>
      </w:pPr>
      <w:r>
        <w:rPr>
          <w:rFonts w:hint="eastAsia" w:ascii="宋体" w:hAnsi="宋体" w:cs="仿宋_GB2312"/>
          <w:sz w:val="24"/>
          <w:szCs w:val="32"/>
          <w:lang w:val="en-US" w:eastAsia="zh-CN"/>
        </w:rPr>
        <w:t>2.</w:t>
      </w:r>
      <w:r>
        <w:rPr>
          <w:rFonts w:hint="eastAsia" w:ascii="宋体" w:hAnsi="宋体" w:cs="仿宋_GB2312"/>
          <w:sz w:val="24"/>
          <w:szCs w:val="32"/>
        </w:rPr>
        <w:t>已领取纸质版营业执照的缴回营业执照正、副本。</w:t>
      </w:r>
    </w:p>
    <w:p>
      <w:pPr>
        <w:widowControl/>
        <w:wordWrap/>
        <w:overflowPunct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仿宋_GB2312"/>
          <w:sz w:val="24"/>
          <w:szCs w:val="32"/>
        </w:rPr>
      </w:pPr>
      <w:r>
        <w:rPr>
          <w:rFonts w:hint="eastAsia" w:ascii="宋体" w:hAnsi="宋体" w:cs="仿宋_GB2312"/>
          <w:sz w:val="24"/>
          <w:szCs w:val="32"/>
          <w:lang w:val="en-US" w:eastAsia="zh-CN"/>
        </w:rPr>
        <w:t>3.</w:t>
      </w:r>
      <w:r>
        <w:rPr>
          <w:rFonts w:hint="eastAsia" w:ascii="宋体" w:hAnsi="宋体" w:cs="仿宋_GB2312"/>
          <w:sz w:val="24"/>
          <w:szCs w:val="32"/>
        </w:rPr>
        <w:t>《简易注销全体投资人承诺书》</w:t>
      </w:r>
    </w:p>
    <w:p>
      <w:pPr>
        <w:widowControl/>
        <w:wordWrap/>
        <w:overflowPunct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仿宋_GB2312"/>
          <w:sz w:val="24"/>
          <w:szCs w:val="32"/>
        </w:rPr>
      </w:pPr>
      <w:r>
        <w:rPr>
          <w:rFonts w:hint="eastAsia" w:ascii="宋体" w:hAnsi="宋体" w:cs="仿宋_GB2312"/>
          <w:sz w:val="24"/>
          <w:szCs w:val="32"/>
          <w:lang w:val="en-US" w:eastAsia="zh-CN"/>
        </w:rPr>
        <w:t>4.</w:t>
      </w:r>
      <w:r>
        <w:rPr>
          <w:rFonts w:hint="eastAsia" w:ascii="宋体" w:hAnsi="宋体" w:cs="仿宋_GB2312"/>
          <w:sz w:val="24"/>
          <w:szCs w:val="32"/>
        </w:rPr>
        <w:t>清税证明材料（登记机关和税务部门已共享清税信息的，无需提交纸质清税证明材料）。</w:t>
      </w:r>
    </w:p>
    <w:p>
      <w:pPr>
        <w:pStyle w:val="2"/>
        <w:wordWrap/>
        <w:adjustRightInd/>
        <w:snapToGrid/>
        <w:ind w:firstLine="600" w:firstLineChars="200"/>
        <w:textAlignment w:val="auto"/>
      </w:pP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</w:rPr>
      </w:pP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</w:rPr>
      </w:pPr>
    </w:p>
    <w:p>
      <w:pPr>
        <w:pStyle w:val="2"/>
        <w:wordWrap/>
        <w:adjustRightInd/>
        <w:snapToGrid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</w:rPr>
      </w:pPr>
    </w:p>
    <w:p>
      <w:pPr>
        <w:wordWrap/>
        <w:adjustRightInd/>
        <w:snapToGrid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</w:rPr>
      </w:pPr>
    </w:p>
    <w:p>
      <w:pPr>
        <w:pStyle w:val="2"/>
        <w:wordWrap/>
        <w:adjustRightInd/>
        <w:snapToGrid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</w:rPr>
      </w:pPr>
    </w:p>
    <w:p>
      <w:pPr>
        <w:wordWrap/>
        <w:adjustRightInd/>
        <w:snapToGrid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</w:rPr>
      </w:pPr>
    </w:p>
    <w:p>
      <w:pPr>
        <w:pStyle w:val="2"/>
        <w:wordWrap/>
        <w:adjustRightInd/>
        <w:snapToGrid/>
        <w:ind w:left="0" w:leftChars="0" w:firstLine="600" w:firstLineChars="200"/>
        <w:textAlignment w:val="auto"/>
        <w:rPr>
          <w:rFonts w:hint="eastAsia"/>
        </w:rPr>
      </w:pP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20个工作日</w:t>
      </w: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widowControl w:val="0"/>
        <w:wordWrap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省定时限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跑动次数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</w:t>
      </w:r>
      <w:r>
        <w:rPr>
          <w:rFonts w:hint="eastAsia" w:ascii="宋体" w:hAnsi="宋体"/>
          <w:sz w:val="24"/>
          <w:szCs w:val="24"/>
        </w:rPr>
        <w:t>不收费</w:t>
      </w:r>
    </w:p>
    <w:p>
      <w:pPr>
        <w:wordWrap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1"/>
          <w:szCs w:val="21"/>
          <w:shd w:val="clear" w:color="auto" w:fill="FFFFFF"/>
        </w:rPr>
        <w:t>http://e.scjg.jl.gov.cn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15.25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pict>
          <v:shape id="_x0000_s1036" o:spid="_x0000_s1030" alt="内资合伙企业注销登记（简易注销）流程图" type="#_x0000_t75" style="position:absolute;left:0;margin-left:30.5pt;margin-top:25.15pt;height:552.3pt;width:467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内资合伙企业注销登记（简易注销）流程图" r:id="rId5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paragraph" w:customStyle="1" w:styleId="5">
    <w:name w:val="Char Char Char Char Char Char Char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493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</dc:creator>
  <cp:lastModifiedBy>tianw</cp:lastModifiedBy>
  <dcterms:modified xsi:type="dcterms:W3CDTF">2024-09-13T02:53:57Z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43C3C00506C64AD3AE7CAE7725DB9628</vt:lpwstr>
  </property>
</Properties>
</file>