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bCs/>
          <w:color w:val="000000"/>
          <w:sz w:val="48"/>
          <w:szCs w:val="48"/>
        </w:rPr>
      </w:pPr>
      <w:r>
        <w:rPr>
          <w:rFonts w:hint="eastAsia" w:ascii="宋体" w:hAnsi="宋体" w:cs="宋体"/>
          <w:b/>
          <w:sz w:val="28"/>
          <w:szCs w:val="28"/>
          <w:lang w:eastAsia="zh-CN"/>
        </w:rPr>
        <w:t>项</w:t>
      </w:r>
      <w:r>
        <w:rPr>
          <w:rFonts w:hint="eastAsia" w:ascii="宋体" w:hAnsi="宋体" w:eastAsia="宋体" w:cs="宋体"/>
          <w:b/>
          <w:sz w:val="28"/>
          <w:szCs w:val="28"/>
        </w:rPr>
        <w:t>目名称：</w:t>
      </w:r>
      <w:r>
        <w:rPr>
          <w:rFonts w:hint="default" w:ascii="宋体" w:hAnsi="宋体"/>
          <w:sz w:val="24"/>
        </w:rPr>
        <w:t>计量标准器具核准（更换）</w:t>
      </w:r>
    </w:p>
    <w:p>
      <w:pPr>
        <w:ind w:left="1419" w:leftChars="1" w:hanging="1417" w:hangingChars="504"/>
        <w:rPr>
          <w:rFonts w:hint="eastAsia" w:ascii="宋体" w:hAnsi="宋体" w:eastAsia="宋体" w:cs="宋体"/>
          <w:b w:val="0"/>
          <w:bCs/>
          <w:sz w:val="44"/>
          <w:szCs w:val="44"/>
        </w:rPr>
      </w:pPr>
      <w:r>
        <w:rPr>
          <w:rFonts w:hint="eastAsia" w:ascii="宋体" w:hAnsi="宋体" w:eastAsia="宋体" w:cs="宋体"/>
          <w:b/>
          <w:sz w:val="28"/>
          <w:szCs w:val="28"/>
        </w:rPr>
        <w:t>办理依据：</w:t>
      </w:r>
      <w:r>
        <w:rPr>
          <w:rFonts w:hint="default" w:ascii="宋体" w:hAnsi="宋体"/>
          <w:sz w:val="24"/>
        </w:rPr>
        <w:t>《中华人民共和国计量法》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w:t>
      </w:r>
    </w:p>
    <w:p>
      <w:pPr>
        <w:rPr>
          <w:rFonts w:hint="eastAsia" w:ascii="宋体" w:hAnsi="宋体" w:eastAsia="宋体" w:cs="宋体"/>
          <w:b w:val="0"/>
          <w:bCs/>
          <w:sz w:val="28"/>
          <w:szCs w:val="28"/>
          <w:lang w:eastAsia="zh-CN"/>
        </w:rPr>
      </w:pPr>
      <w:r>
        <w:rPr>
          <w:rFonts w:hint="eastAsia" w:ascii="宋体" w:hAnsi="宋体" w:eastAsia="宋体" w:cs="宋体"/>
          <w:b/>
          <w:sz w:val="28"/>
          <w:szCs w:val="28"/>
        </w:rPr>
        <w:t>办理范围：</w:t>
      </w:r>
      <w:r>
        <w:rPr>
          <w:rFonts w:hint="default" w:ascii="宋体" w:hAnsi="宋体"/>
          <w:sz w:val="24"/>
        </w:rPr>
        <w:t>企业法人,事业法人</w:t>
      </w:r>
    </w:p>
    <w:p>
      <w:pPr>
        <w:ind w:left="1687" w:hanging="1687" w:hangingChars="600"/>
        <w:rPr>
          <w:rFonts w:hint="eastAsia" w:ascii="宋体" w:hAnsi="宋体" w:eastAsia="宋体" w:cs="宋体"/>
          <w:b w:val="0"/>
          <w:bCs/>
          <w:sz w:val="40"/>
          <w:szCs w:val="40"/>
          <w:lang w:val="en-US" w:eastAsia="zh-CN"/>
        </w:rPr>
      </w:pPr>
      <w:r>
        <w:rPr>
          <w:rFonts w:hint="eastAsia" w:ascii="宋体" w:hAnsi="宋体" w:eastAsia="宋体" w:cs="宋体"/>
          <w:b/>
          <w:sz w:val="28"/>
          <w:szCs w:val="28"/>
          <w:lang w:eastAsia="zh-CN"/>
        </w:rPr>
        <w:t>受</w:t>
      </w:r>
      <w:r>
        <w:rPr>
          <w:rFonts w:hint="eastAsia" w:ascii="宋体" w:hAnsi="宋体" w:eastAsia="宋体" w:cs="宋体"/>
          <w:b/>
          <w:sz w:val="28"/>
          <w:szCs w:val="28"/>
        </w:rPr>
        <w:t>理条件：</w:t>
      </w:r>
      <w:r>
        <w:rPr>
          <w:rFonts w:hint="eastAsia" w:ascii="宋体" w:hAnsi="宋体" w:eastAsia="宋体" w:cs="宋体"/>
          <w:i w:val="0"/>
          <w:caps w:val="0"/>
          <w:color w:val="3D4B64"/>
          <w:spacing w:val="0"/>
          <w:sz w:val="24"/>
          <w:szCs w:val="24"/>
          <w:shd w:val="clear" w:color="auto" w:fill="F7F7F7"/>
        </w:rPr>
        <w:t>资料齐全、符合法定形式，填写内容完整的，即时受理</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default" w:ascii="宋体" w:hAnsi="宋体"/>
          <w:sz w:val="24"/>
        </w:rPr>
      </w:pPr>
      <w:r>
        <w:rPr>
          <w:rFonts w:hint="eastAsia" w:ascii="宋体" w:hAnsi="宋体" w:eastAsia="宋体" w:cs="宋体"/>
          <w:b/>
          <w:sz w:val="28"/>
          <w:szCs w:val="28"/>
        </w:rPr>
        <w:t>申报材料：</w:t>
      </w:r>
      <w:r>
        <w:rPr>
          <w:rFonts w:hint="eastAsia" w:ascii="仿宋" w:hAnsi="仿宋" w:eastAsia="仿宋" w:cs="仿宋"/>
          <w:b/>
          <w:sz w:val="28"/>
          <w:szCs w:val="28"/>
          <w:lang w:val="en-US" w:eastAsia="zh-CN"/>
        </w:rPr>
        <w:t>1、</w:t>
      </w:r>
      <w:r>
        <w:rPr>
          <w:rFonts w:hint="default" w:ascii="宋体" w:hAnsi="宋体"/>
          <w:sz w:val="24"/>
        </w:rPr>
        <w:t>计量标准更换申报表</w:t>
      </w:r>
      <w:r>
        <w:rPr>
          <w:rFonts w:hint="eastAsia" w:ascii="宋体" w:hAnsi="宋体"/>
          <w:sz w:val="24"/>
          <w:lang w:eastAsia="zh-CN"/>
        </w:rPr>
        <w:t>；</w:t>
      </w:r>
      <w:r>
        <w:rPr>
          <w:rFonts w:hint="eastAsia" w:ascii="宋体" w:hAnsi="宋体"/>
          <w:sz w:val="24"/>
          <w:lang w:val="en-US" w:eastAsia="zh-CN"/>
        </w:rPr>
        <w:t>2、</w:t>
      </w:r>
      <w:r>
        <w:rPr>
          <w:rFonts w:hint="default" w:ascii="宋体" w:hAnsi="宋体"/>
          <w:sz w:val="24"/>
        </w:rPr>
        <w:t>计量检定证书</w:t>
      </w:r>
      <w:r>
        <w:rPr>
          <w:rFonts w:hint="eastAsia" w:ascii="宋体" w:hAnsi="宋体"/>
          <w:sz w:val="24"/>
          <w:lang w:eastAsia="zh-CN"/>
        </w:rPr>
        <w:t>；</w:t>
      </w:r>
      <w:r>
        <w:rPr>
          <w:rFonts w:hint="eastAsia" w:ascii="宋体" w:hAnsi="宋体"/>
          <w:sz w:val="24"/>
          <w:lang w:val="en-US" w:eastAsia="zh-CN"/>
        </w:rPr>
        <w:t>3、</w:t>
      </w:r>
      <w:r>
        <w:rPr>
          <w:rFonts w:hint="default" w:ascii="宋体" w:hAnsi="宋体"/>
          <w:sz w:val="24"/>
        </w:rPr>
        <w:t>计量标准证书</w:t>
      </w:r>
      <w:r>
        <w:rPr>
          <w:rFonts w:hint="eastAsia" w:ascii="宋体" w:hAnsi="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120" w:lineRule="auto"/>
        <w:ind w:left="1436" w:leftChars="684" w:firstLine="0" w:firstLineChars="0"/>
        <w:textAlignment w:val="auto"/>
        <w:outlineLvl w:val="9"/>
        <w:rPr>
          <w:rFonts w:hint="eastAsia" w:ascii="宋体" w:hAnsi="宋体" w:eastAsia="宋体" w:cs="宋体"/>
          <w:b w:val="0"/>
          <w:bCs/>
          <w:sz w:val="22"/>
          <w:szCs w:val="22"/>
          <w:lang w:val="en-US" w:eastAsia="zh-CN"/>
        </w:rPr>
      </w:pPr>
    </w:p>
    <w:p>
      <w:pPr>
        <w:ind w:left="1405" w:hanging="1405" w:hangingChars="500"/>
        <w:rPr>
          <w:rFonts w:hint="eastAsia" w:ascii="宋体" w:hAnsi="宋体" w:eastAsia="宋体" w:cs="宋体"/>
          <w:sz w:val="28"/>
          <w:szCs w:val="28"/>
        </w:rPr>
      </w:pPr>
      <w:r>
        <w:rPr>
          <w:rFonts w:hint="eastAsia" w:ascii="宋体" w:hAnsi="宋体" w:eastAsia="宋体" w:cs="宋体"/>
          <w:b/>
          <w:sz w:val="28"/>
          <w:szCs w:val="28"/>
        </w:rPr>
        <w:t>法定时限：</w:t>
      </w:r>
      <w:r>
        <w:rPr>
          <w:rFonts w:hint="eastAsia" w:ascii="宋体" w:hAnsi="宋体" w:cs="宋体"/>
          <w:b/>
          <w:sz w:val="28"/>
          <w:szCs w:val="28"/>
          <w:lang w:val="en-US" w:eastAsia="zh-CN"/>
        </w:rPr>
        <w:t>1</w:t>
      </w:r>
      <w:r>
        <w:rPr>
          <w:rFonts w:hint="eastAsia" w:ascii="宋体" w:hAnsi="宋体" w:eastAsia="宋体" w:cs="宋体"/>
          <w:sz w:val="28"/>
          <w:szCs w:val="28"/>
        </w:rPr>
        <w:t>个工作日</w:t>
      </w:r>
    </w:p>
    <w:p>
      <w:pPr>
        <w:ind w:left="1405" w:hanging="1405" w:hangingChars="500"/>
        <w:rPr>
          <w:rFonts w:hint="eastAsia" w:ascii="宋体" w:hAnsi="宋体" w:eastAsia="宋体" w:cs="宋体"/>
          <w:sz w:val="28"/>
          <w:szCs w:val="28"/>
        </w:rPr>
      </w:pPr>
      <w:r>
        <w:rPr>
          <w:rFonts w:hint="eastAsia" w:ascii="宋体" w:hAnsi="宋体" w:cs="宋体"/>
          <w:b/>
          <w:bCs/>
          <w:sz w:val="28"/>
          <w:szCs w:val="28"/>
          <w:lang w:eastAsia="zh-CN"/>
        </w:rPr>
        <w:t>省定时限：</w:t>
      </w:r>
      <w:r>
        <w:rPr>
          <w:rFonts w:hint="eastAsia" w:ascii="宋体" w:hAnsi="宋体" w:eastAsia="宋体" w:cs="宋体"/>
          <w:b w:val="0"/>
          <w:bCs/>
          <w:sz w:val="28"/>
          <w:szCs w:val="28"/>
          <w:lang w:val="en-US" w:eastAsia="zh-CN"/>
        </w:rPr>
        <w:t>1个工作日</w:t>
      </w:r>
      <w:r>
        <w:rPr>
          <w:rFonts w:hint="eastAsia" w:ascii="宋体" w:hAnsi="宋体" w:eastAsia="宋体" w:cs="宋体"/>
          <w:sz w:val="28"/>
          <w:szCs w:val="28"/>
        </w:rPr>
        <w:t xml:space="preserve">        </w:t>
      </w:r>
    </w:p>
    <w:p>
      <w:pPr>
        <w:rPr>
          <w:rFonts w:hint="eastAsia" w:ascii="宋体" w:hAnsi="宋体" w:eastAsia="宋体" w:cs="宋体"/>
          <w:b w:val="0"/>
          <w:bCs/>
          <w:sz w:val="28"/>
          <w:szCs w:val="28"/>
          <w:lang w:val="en-US" w:eastAsia="zh-CN"/>
        </w:rPr>
      </w:pPr>
      <w:r>
        <w:rPr>
          <w:rFonts w:hint="eastAsia" w:ascii="宋体" w:hAnsi="宋体" w:eastAsia="宋体" w:cs="宋体"/>
          <w:b/>
          <w:sz w:val="28"/>
          <w:szCs w:val="28"/>
        </w:rPr>
        <w:t>承诺时限：</w:t>
      </w:r>
      <w:r>
        <w:rPr>
          <w:rFonts w:hint="eastAsia" w:ascii="宋体" w:hAnsi="宋体" w:eastAsia="宋体" w:cs="宋体"/>
          <w:b w:val="0"/>
          <w:bCs/>
          <w:sz w:val="28"/>
          <w:szCs w:val="28"/>
          <w:lang w:val="en-US" w:eastAsia="zh-CN"/>
        </w:rPr>
        <w:t>1个工作日</w:t>
      </w:r>
    </w:p>
    <w:p>
      <w:pPr>
        <w:rPr>
          <w:rFonts w:hint="default" w:ascii="宋体" w:hAnsi="宋体" w:eastAsia="宋体" w:cs="宋体"/>
          <w:b w:val="0"/>
          <w:bCs/>
          <w:sz w:val="28"/>
          <w:szCs w:val="28"/>
          <w:lang w:val="en-US" w:eastAsia="zh-CN"/>
        </w:rPr>
      </w:pPr>
      <w:r>
        <w:rPr>
          <w:rFonts w:hint="eastAsia" w:ascii="宋体" w:hAnsi="宋体" w:cs="宋体"/>
          <w:b/>
          <w:bCs w:val="0"/>
          <w:sz w:val="28"/>
          <w:szCs w:val="28"/>
          <w:lang w:val="en-US" w:eastAsia="zh-CN"/>
        </w:rPr>
        <w:t>跑动次数：0</w:t>
      </w:r>
      <w:r>
        <w:rPr>
          <w:rFonts w:hint="eastAsia" w:ascii="宋体" w:hAnsi="宋体" w:cs="宋体"/>
          <w:b w:val="0"/>
          <w:bCs/>
          <w:sz w:val="28"/>
          <w:szCs w:val="28"/>
          <w:lang w:val="en-US" w:eastAsia="zh-CN"/>
        </w:rPr>
        <w:t>次</w:t>
      </w:r>
    </w:p>
    <w:p>
      <w:pPr>
        <w:rPr>
          <w:rFonts w:hint="eastAsia" w:ascii="宋体" w:hAnsi="宋体"/>
          <w:sz w:val="28"/>
          <w:szCs w:val="28"/>
        </w:rPr>
      </w:pPr>
      <w:r>
        <w:rPr>
          <w:rFonts w:hint="eastAsia" w:ascii="宋体" w:hAnsi="宋体" w:eastAsia="宋体" w:cs="宋体"/>
          <w:b/>
          <w:sz w:val="28"/>
          <w:szCs w:val="28"/>
        </w:rPr>
        <w:t>收费标准：</w:t>
      </w:r>
      <w:r>
        <w:rPr>
          <w:rFonts w:hint="eastAsia" w:ascii="宋体" w:hAnsi="宋体" w:eastAsia="宋体" w:cs="宋体"/>
          <w:sz w:val="28"/>
          <w:szCs w:val="28"/>
        </w:rPr>
        <w:t>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99060</wp:posOffset>
            </wp:positionH>
            <wp:positionV relativeFrom="page">
              <wp:posOffset>2047875</wp:posOffset>
            </wp:positionV>
            <wp:extent cx="6381115" cy="6062345"/>
            <wp:effectExtent l="0" t="0" r="635" b="14605"/>
            <wp:wrapSquare wrapText="bothSides"/>
            <wp:docPr id="1" name="图片 1" descr="计量标准器具核准（更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计量标准器具核准（更换）"/>
                    <pic:cNvPicPr>
                      <a:picLocks noChangeAspect="1"/>
                    </pic:cNvPicPr>
                  </pic:nvPicPr>
                  <pic:blipFill>
                    <a:blip r:embed="rId4"/>
                    <a:stretch>
                      <a:fillRect/>
                    </a:stretch>
                  </pic:blipFill>
                  <pic:spPr>
                    <a:xfrm>
                      <a:off x="0" y="0"/>
                      <a:ext cx="6381115" cy="606234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jZkMzBkZjRiMGU1ZTA3ODA2MmUwYjU3ZjMwMGUifQ=="/>
  </w:docVars>
  <w:rsids>
    <w:rsidRoot w:val="00000000"/>
    <w:rsid w:val="00115F63"/>
    <w:rsid w:val="00934E89"/>
    <w:rsid w:val="00954B2D"/>
    <w:rsid w:val="023B763F"/>
    <w:rsid w:val="02DD1274"/>
    <w:rsid w:val="03A6021C"/>
    <w:rsid w:val="03B95134"/>
    <w:rsid w:val="078C5B4C"/>
    <w:rsid w:val="0AA80E4B"/>
    <w:rsid w:val="0AA82BAB"/>
    <w:rsid w:val="0B9F71AF"/>
    <w:rsid w:val="115037E7"/>
    <w:rsid w:val="118B6344"/>
    <w:rsid w:val="135E42E7"/>
    <w:rsid w:val="1376690E"/>
    <w:rsid w:val="17C50B7D"/>
    <w:rsid w:val="1800105A"/>
    <w:rsid w:val="198E2B94"/>
    <w:rsid w:val="19A3791B"/>
    <w:rsid w:val="1E4664C2"/>
    <w:rsid w:val="1E59702A"/>
    <w:rsid w:val="1E7046CB"/>
    <w:rsid w:val="220D14F7"/>
    <w:rsid w:val="279858F9"/>
    <w:rsid w:val="2A86568F"/>
    <w:rsid w:val="2B5E7CA7"/>
    <w:rsid w:val="2B9805E7"/>
    <w:rsid w:val="2C2A1A90"/>
    <w:rsid w:val="2E020A84"/>
    <w:rsid w:val="2E1A14CF"/>
    <w:rsid w:val="359607E6"/>
    <w:rsid w:val="3AE66C1C"/>
    <w:rsid w:val="3B296CA8"/>
    <w:rsid w:val="3C0A6F77"/>
    <w:rsid w:val="3CB3284F"/>
    <w:rsid w:val="3CCC41AD"/>
    <w:rsid w:val="3D257ED7"/>
    <w:rsid w:val="46716EBF"/>
    <w:rsid w:val="490D21A1"/>
    <w:rsid w:val="499B6C1B"/>
    <w:rsid w:val="4A7657E0"/>
    <w:rsid w:val="4B214924"/>
    <w:rsid w:val="50DE79D9"/>
    <w:rsid w:val="571F42E8"/>
    <w:rsid w:val="59523E7C"/>
    <w:rsid w:val="5B4E7BF4"/>
    <w:rsid w:val="5BB1392B"/>
    <w:rsid w:val="5BB866F2"/>
    <w:rsid w:val="5D123F49"/>
    <w:rsid w:val="5FA44976"/>
    <w:rsid w:val="648010DA"/>
    <w:rsid w:val="6493394B"/>
    <w:rsid w:val="64C9526C"/>
    <w:rsid w:val="66E3632D"/>
    <w:rsid w:val="69D121B5"/>
    <w:rsid w:val="6B6A2427"/>
    <w:rsid w:val="6DFE79B2"/>
    <w:rsid w:val="6F23647A"/>
    <w:rsid w:val="6F902572"/>
    <w:rsid w:val="6FAD4853"/>
    <w:rsid w:val="70395D12"/>
    <w:rsid w:val="70E34BE8"/>
    <w:rsid w:val="73452A52"/>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Words>
  <Characters>186</Characters>
  <Lines>0</Lines>
  <Paragraphs>0</Paragraphs>
  <TotalTime>1</TotalTime>
  <ScaleCrop>false</ScaleCrop>
  <LinksUpToDate>false</LinksUpToDate>
  <CharactersWithSpaces>328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李林</cp:lastModifiedBy>
  <cp:lastPrinted>2024-05-21T02:32:24Z</cp:lastPrinted>
  <dcterms:modified xsi:type="dcterms:W3CDTF">2024-05-21T02:32:31Z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AD55D9582F244A748B1BD098CDCC670E</vt:lpwstr>
  </property>
</Properties>
</file>