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特种设备使用登记更名变更按台（套）办理</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ascii="Segoe UI" w:hAnsi="Segoe UI" w:eastAsia="Segoe UI" w:cs="Segoe UI"/>
          <w:i w:val="0"/>
          <w:caps w:val="0"/>
          <w:spacing w:val="0"/>
          <w:sz w:val="21"/>
          <w:szCs w:val="21"/>
          <w:shd w:val="clear" w:color="auto" w:fill="FFFFFF"/>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060" w:leftChars="1" w:hanging="1058" w:hangingChars="504"/>
        <w:rPr>
          <w:rFonts w:hint="eastAsia" w:ascii="Segoe UI" w:hAnsi="Segoe UI" w:eastAsia="Segoe UI" w:cs="Segoe UI"/>
          <w:i w:val="0"/>
          <w:caps w:val="0"/>
          <w:spacing w:val="0"/>
          <w:sz w:val="21"/>
          <w:szCs w:val="21"/>
          <w:shd w:val="clear" w:color="auto" w:fill="FFFFFF"/>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原使用登记证</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原使用登记表</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eastAsia="zh-CN"/>
        </w:rPr>
      </w:pPr>
      <w:r>
        <w:rPr>
          <w:rFonts w:hint="eastAsia" w:ascii="宋体" w:hAnsi="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单位名称的变更文件</w:t>
      </w:r>
      <w:r>
        <w:rPr>
          <w:rFonts w:ascii="Segoe UI" w:hAnsi="Segoe UI" w:eastAsia="Segoe UI" w:cs="Segoe UI"/>
          <w:i w:val="0"/>
          <w:caps w:val="0"/>
          <w:spacing w:val="0"/>
          <w:sz w:val="21"/>
          <w:szCs w:val="21"/>
          <w:shd w:val="clear" w:color="auto" w:fill="FFFFFF"/>
        </w:rPr>
        <w:t>（无法在线核验时）</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firstLine="1200" w:firstLineChars="500"/>
        <w:rPr>
          <w:rFonts w:hint="eastAsia" w:ascii="宋体" w:hAnsi="宋体" w:cs="宋体"/>
          <w:b w:val="0"/>
          <w:i w:val="0"/>
          <w:caps w:val="0"/>
          <w:color w:val="3D4B64"/>
          <w:spacing w:val="0"/>
          <w:sz w:val="24"/>
          <w:szCs w:val="24"/>
          <w:shd w:val="clear" w:color="auto" w:fill="FFFFFF"/>
          <w:lang w:val="en-US" w:eastAsia="zh-CN"/>
        </w:rPr>
      </w:pP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 xml:space="preserve">个工作日       </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7</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跑动次数：</w:t>
      </w:r>
      <w:r>
        <w:rPr>
          <w:rFonts w:hint="eastAsia" w:ascii="宋体" w:hAnsi="宋体" w:cs="宋体"/>
          <w:b/>
          <w:bCs/>
          <w:sz w:val="24"/>
          <w:szCs w:val="24"/>
          <w:lang w:val="en-US" w:eastAsia="zh-CN"/>
        </w:rPr>
        <w:t>0</w:t>
      </w:r>
      <w:r>
        <w:rPr>
          <w:rFonts w:hint="eastAsia" w:ascii="宋体" w:hAnsi="宋体" w:eastAsia="宋体" w:cs="宋体"/>
          <w:sz w:val="24"/>
          <w:szCs w:val="24"/>
          <w:lang w:val="en-US" w:eastAsia="zh-CN"/>
        </w:rPr>
        <w:t>次</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eastAsia" w:ascii="宋体" w:hAnsi="宋体" w:eastAsia="宋体"/>
          <w:color w:val="000000"/>
          <w:sz w:val="32"/>
          <w:szCs w:val="32"/>
          <w:lang w:eastAsia="zh-CN"/>
        </w:rPr>
        <w:drawing>
          <wp:anchor distT="0" distB="0" distL="114300" distR="114300" simplePos="0" relativeHeight="251665408" behindDoc="0" locked="0" layoutInCell="1" allowOverlap="1">
            <wp:simplePos x="0" y="0"/>
            <wp:positionH relativeFrom="column">
              <wp:posOffset>647065</wp:posOffset>
            </wp:positionH>
            <wp:positionV relativeFrom="paragraph">
              <wp:posOffset>178435</wp:posOffset>
            </wp:positionV>
            <wp:extent cx="5190490" cy="6999605"/>
            <wp:effectExtent l="0" t="0" r="6350" b="10795"/>
            <wp:wrapSquare wrapText="bothSides"/>
            <wp:docPr id="1" name="图片 2" descr="H:/特种设备使用登记更名变更按台（套）办理.png特种设备使用登记更名变更按台（套）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特种设备使用登记更名变更按台（套）办理.png特种设备使用登记更名变更按台（套）办理"/>
                    <pic:cNvPicPr>
                      <a:picLocks noChangeAspect="1"/>
                    </pic:cNvPicPr>
                  </pic:nvPicPr>
                  <pic:blipFill>
                    <a:blip r:embed="rId4"/>
                    <a:srcRect l="3656" r="3656"/>
                    <a:stretch>
                      <a:fillRect/>
                    </a:stretch>
                  </pic:blipFill>
                  <pic:spPr>
                    <a:xfrm>
                      <a:off x="0" y="0"/>
                      <a:ext cx="5190490" cy="699960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8921BAE"/>
    <w:rsid w:val="0AA80E4B"/>
    <w:rsid w:val="0B9F71AF"/>
    <w:rsid w:val="115037E7"/>
    <w:rsid w:val="118B6344"/>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145555D"/>
    <w:rsid w:val="359607E6"/>
    <w:rsid w:val="3AE66C1C"/>
    <w:rsid w:val="3B296CA8"/>
    <w:rsid w:val="3C0A6F77"/>
    <w:rsid w:val="3CB3284F"/>
    <w:rsid w:val="3CCC41AD"/>
    <w:rsid w:val="3D257ED7"/>
    <w:rsid w:val="452F4D6D"/>
    <w:rsid w:val="46716EBF"/>
    <w:rsid w:val="490D21A1"/>
    <w:rsid w:val="499B6C1B"/>
    <w:rsid w:val="4A7657E0"/>
    <w:rsid w:val="4B214924"/>
    <w:rsid w:val="50DE79D9"/>
    <w:rsid w:val="516A23CC"/>
    <w:rsid w:val="571F42E8"/>
    <w:rsid w:val="59523E7C"/>
    <w:rsid w:val="5B4E7BF4"/>
    <w:rsid w:val="5B820331"/>
    <w:rsid w:val="5BB1392B"/>
    <w:rsid w:val="5BB866F2"/>
    <w:rsid w:val="5D123F49"/>
    <w:rsid w:val="5FA44976"/>
    <w:rsid w:val="648010DA"/>
    <w:rsid w:val="6493394B"/>
    <w:rsid w:val="64C9526C"/>
    <w:rsid w:val="66E3632D"/>
    <w:rsid w:val="69D121B5"/>
    <w:rsid w:val="6B6A2427"/>
    <w:rsid w:val="6DFE79B2"/>
    <w:rsid w:val="6F23647A"/>
    <w:rsid w:val="6F902572"/>
    <w:rsid w:val="6FAD4853"/>
    <w:rsid w:val="70395D12"/>
    <w:rsid w:val="73452A52"/>
    <w:rsid w:val="76771276"/>
    <w:rsid w:val="780A18F2"/>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884</Characters>
  <Lines>0</Lines>
  <Paragraphs>0</Paragraphs>
  <TotalTime>3</TotalTime>
  <ScaleCrop>false</ScaleCrop>
  <LinksUpToDate>false</LinksUpToDate>
  <CharactersWithSpaces>1039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