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8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50"/>
        <w:gridCol w:w="2761"/>
        <w:gridCol w:w="786"/>
        <w:gridCol w:w="933"/>
        <w:gridCol w:w="867"/>
        <w:gridCol w:w="800"/>
        <w:gridCol w:w="867"/>
        <w:gridCol w:w="1233"/>
        <w:gridCol w:w="119"/>
        <w:gridCol w:w="1448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3" w:type="dxa"/>
            <w:gridSpan w:val="12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华文中宋" w:hAnsi="华文中宋" w:eastAsia="华文中宋"/>
                <w:b/>
                <w:color w:val="auto"/>
                <w:sz w:val="36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color w:val="auto"/>
                <w:sz w:val="36"/>
              </w:rPr>
              <w:t>四平市市场监督管理局行政执法音像记录清单</w:t>
            </w:r>
            <w:bookmarkEnd w:id="0"/>
            <w:r>
              <w:rPr>
                <w:rFonts w:hint="eastAsia" w:ascii="华文中宋" w:hAnsi="华文中宋" w:eastAsia="华文中宋"/>
                <w:b/>
                <w:color w:val="auto"/>
                <w:sz w:val="36"/>
              </w:rPr>
              <w:t>（讨论稿）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序号</w:t>
            </w:r>
          </w:p>
        </w:tc>
        <w:tc>
          <w:tcPr>
            <w:tcW w:w="3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执法事项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记录环节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记录场所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记录方式</w:t>
            </w:r>
          </w:p>
        </w:tc>
        <w:tc>
          <w:tcPr>
            <w:tcW w:w="22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记录时间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记录过程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执法类别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开始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结束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</w:t>
            </w:r>
          </w:p>
        </w:tc>
        <w:tc>
          <w:tcPr>
            <w:tcW w:w="27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纳入《四平市市场监督管理局行政执法事项清单》的全部行政执法事项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听证会记录员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听证会现场</w:t>
            </w:r>
          </w:p>
        </w:tc>
        <w:tc>
          <w:tcPr>
            <w:tcW w:w="8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听证会开始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听证会结束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听证会全过程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执法文书送达</w:t>
            </w:r>
          </w:p>
        </w:tc>
        <w:tc>
          <w:tcPr>
            <w:tcW w:w="27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纳入《四平市市场监督管理局行政执法事项清单》的全部行政执法事项中当事人不在现场或拒绝签收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文书送达</w:t>
            </w:r>
          </w:p>
        </w:tc>
        <w:tc>
          <w:tcPr>
            <w:tcW w:w="9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送达人员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送达现场</w:t>
            </w:r>
          </w:p>
        </w:tc>
        <w:tc>
          <w:tcPr>
            <w:tcW w:w="8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送达开始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送达结速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文书送达全过程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49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27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纳入《四平市市场监督管理局行政执法事项清单的全部行政执法事项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没收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实施强制措施人员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没收物品场所</w:t>
            </w:r>
          </w:p>
        </w:tc>
        <w:tc>
          <w:tcPr>
            <w:tcW w:w="8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进入没收物品场所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完成没收，离开没收物品场所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没收物品全过程；没收物品详细情况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返还没收物品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实施强制措施人员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返还没收物品场所</w:t>
            </w:r>
          </w:p>
        </w:tc>
        <w:tc>
          <w:tcPr>
            <w:tcW w:w="8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开始返还没收物品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完成返还没收物品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返还没收物品全过程；返还物品详细情况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9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27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纳入《四平市市场监督管理局行政执法事项清单》的全部行政执法事项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封存、扣押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实施强制措施人员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封存、扣押物品场所</w:t>
            </w:r>
          </w:p>
        </w:tc>
        <w:tc>
          <w:tcPr>
            <w:tcW w:w="8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进入封存、扣押场所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完成封存、扣押，离开封存、扣押场所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封存、扣押全过程；封存、扣押物品详细情况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解除封存、扣押、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实施强制措施人员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封存、扣押物品场所</w:t>
            </w:r>
          </w:p>
        </w:tc>
        <w:tc>
          <w:tcPr>
            <w:tcW w:w="800" w:type="dxa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进入封存、扣押场所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完成解除封存、扣押，离开封存、扣押场所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解除封存、扣押全过程；解除封存、扣押物品详细情况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49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</w:t>
            </w:r>
          </w:p>
        </w:tc>
        <w:tc>
          <w:tcPr>
            <w:tcW w:w="27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纳入《四平市市场监督管理局行政执法事项清单》的全部行政执法事项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先行登记保存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实施先行登记保存措施人员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先行登记保存场所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进入先行登记保存场所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离开先行登记保存场所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记录先行登记保存全过程；记录先行登记保存物品的详细情况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6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解除先行登记保存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实施解除先行登记保存措施人员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解除先行登记保存场所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进入解除先行登记保存场所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</w:tcBorders>
            <w:shd w:val="solid" w:color="FFFFFF" w:fill="auto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离开解除先行登记保存场所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记录先行登记保存全过程；记录先行登记保存物品的详细情况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现场有特殊原因不能使用电子产品的除外。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行政告知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纳入《四平市市场监督管理局行政执法事项清单》中除行政许可事项外的其他行政执法事项，通过视频、电话进行告知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告知当事人有关事项</w:t>
            </w:r>
          </w:p>
        </w:tc>
        <w:tc>
          <w:tcPr>
            <w:tcW w:w="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告知人员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告知通讯现场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录音录像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告知开始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告知结束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告知当事人有关事项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2F3D"/>
    <w:rsid w:val="1D0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2021-10-08T03:01:00Z</dcterms:created>
  <dc:creator>1</dc:creator>
  <cp:lastModifiedBy>1</cp:lastModifiedBy>
  <dcterms:modified xsi:type="dcterms:W3CDTF">2021-10-08T03:02:03Z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