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399"/>
        <w:gridCol w:w="3074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lang w:eastAsia="zh-CN"/>
              </w:rPr>
              <w:t>市场监督管理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局行政执法情况统计表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   四平市市场监督管理局                           报送时间：2025年 1 月 21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63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起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63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              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罚款</w:t>
            </w:r>
          </w:p>
        </w:tc>
        <w:tc>
          <w:tcPr>
            <w:tcW w:w="2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599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554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万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50起468万元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391起11.5万元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起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596起452万元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3起144万元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48起107万元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起                    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26829个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起           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起  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起 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应告知当事人听证50 起                      已组织听证 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     张影                      电话：   3099129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填表须知：1.金额单位为元；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2.较重行政处罚具体内容参照《吉林省行政处罚听证程序规定》第五条规定；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3.应当告知当事人听证数量应该与较重行政处罚数量一致；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4.由代收机构代收是指已经执行完毕、由代收机构代收的罚款数额；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5.期限内已履行是指在规定时限内缴纳罚款的处罚案件，逾期未履行是指在规定时限内未能缴纳罚款的处罚案件（包括年度内已执行完毕和未执行完毕的）；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6.其他行政处罚需写明具体处罚内容。</w:t>
      </w: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2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60E"/>
    <w:rsid w:val="059F76D1"/>
    <w:rsid w:val="11C746B4"/>
    <w:rsid w:val="11E030A6"/>
    <w:rsid w:val="1F2071AB"/>
    <w:rsid w:val="1F3C4392"/>
    <w:rsid w:val="21F47432"/>
    <w:rsid w:val="239676F1"/>
    <w:rsid w:val="271E69A5"/>
    <w:rsid w:val="2A7166A1"/>
    <w:rsid w:val="2DA74555"/>
    <w:rsid w:val="301A1B15"/>
    <w:rsid w:val="37EC78B5"/>
    <w:rsid w:val="39CC2FF9"/>
    <w:rsid w:val="43EC5ABA"/>
    <w:rsid w:val="44E44C14"/>
    <w:rsid w:val="49EE0547"/>
    <w:rsid w:val="507933B8"/>
    <w:rsid w:val="51355B65"/>
    <w:rsid w:val="53FF3CDF"/>
    <w:rsid w:val="58D7569F"/>
    <w:rsid w:val="5A7F5662"/>
    <w:rsid w:val="653FBB9C"/>
    <w:rsid w:val="68F54A87"/>
    <w:rsid w:val="746F4C7D"/>
    <w:rsid w:val="7F626F34"/>
    <w:rsid w:val="D6A58881"/>
    <w:rsid w:val="DFBC338B"/>
    <w:rsid w:val="F15F1722"/>
    <w:rsid w:val="F6DED555"/>
    <w:rsid w:val="FBFF5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2019-06-13T15:49:00Z</dcterms:created>
  <dc:creator>Administrator</dc:creator>
  <cp:lastModifiedBy>admin</cp:lastModifiedBy>
  <cp:lastPrinted>2025-01-21T14:32:37Z</cp:lastPrinted>
  <dcterms:modified xsi:type="dcterms:W3CDTF">2025-01-21T14:32:39Z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23E07813F917736B303D7B674BB1321E</vt:lpwstr>
  </property>
</Properties>
</file>