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DD05C">
      <w:pPr>
        <w:jc w:val="center"/>
        <w:rPr>
          <w:rFonts w:ascii="仿宋_GB2312" w:hAnsi="仿宋_GB2312" w:eastAsia="仿宋_GB2312" w:cs="仿宋_GB2312"/>
          <w:b/>
          <w:bCs/>
          <w:sz w:val="28"/>
          <w:szCs w:val="28"/>
        </w:rPr>
      </w:pPr>
      <w:r>
        <w:rPr>
          <w:rFonts w:hint="eastAsia" w:ascii="仿宋" w:hAnsi="仿宋" w:eastAsia="仿宋" w:cs="仿宋"/>
          <w:sz w:val="30"/>
          <w:szCs w:val="30"/>
        </w:rPr>
        <w:t>202</w:t>
      </w:r>
      <w:r>
        <w:rPr>
          <w:rFonts w:hint="eastAsia" w:ascii="仿宋" w:hAnsi="仿宋" w:eastAsia="仿宋" w:cs="仿宋"/>
          <w:sz w:val="30"/>
          <w:szCs w:val="30"/>
          <w:lang w:val="en-US" w:eastAsia="zh-CN"/>
        </w:rPr>
        <w:t>6</w:t>
      </w:r>
      <w:r>
        <w:rPr>
          <w:rFonts w:hint="eastAsia" w:ascii="仿宋" w:hAnsi="仿宋" w:eastAsia="仿宋" w:cs="仿宋"/>
          <w:sz w:val="30"/>
          <w:szCs w:val="30"/>
        </w:rPr>
        <w:t xml:space="preserve">年板式热交换市级监督抽查细则                            </w:t>
      </w:r>
    </w:p>
    <w:p w14:paraId="082FA7B9">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一、检验依据</w:t>
      </w:r>
    </w:p>
    <w:p w14:paraId="6B81EF70">
      <w:pPr>
        <w:spacing w:line="360" w:lineRule="auto"/>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NB/T47004.1-20</w:t>
      </w:r>
      <w:r>
        <w:rPr>
          <w:rFonts w:hint="eastAsia" w:ascii="仿宋_GB2312" w:hAnsi="仿宋_GB2312" w:eastAsia="仿宋_GB2312" w:cs="仿宋_GB2312"/>
          <w:kern w:val="0"/>
          <w:sz w:val="28"/>
          <w:szCs w:val="28"/>
          <w:lang w:val="en-US" w:eastAsia="zh-CN"/>
        </w:rPr>
        <w:t>25</w:t>
      </w:r>
      <w:r>
        <w:rPr>
          <w:rFonts w:hint="eastAsia" w:ascii="仿宋_GB2312" w:hAnsi="仿宋_GB2312" w:eastAsia="仿宋_GB2312" w:cs="仿宋_GB2312"/>
          <w:sz w:val="28"/>
          <w:szCs w:val="28"/>
        </w:rPr>
        <w:t>板式热交换器</w:t>
      </w:r>
    </w:p>
    <w:p w14:paraId="57744B76">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二、抽样</w:t>
      </w:r>
    </w:p>
    <w:p w14:paraId="64A4F315">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sz w:val="28"/>
          <w:szCs w:val="28"/>
        </w:rPr>
        <w:t>1、抽样人员：抽样人员应为质检机构工作人员，抽样前应组织开展岗前培训，确保抽样人员掌握该方案的有关内容和工作程序；抽样时应不少于2人。</w:t>
      </w:r>
    </w:p>
    <w:p w14:paraId="2DA4F448">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 抽样方法：在生产企业成品库内随机抽取近期生产的(202</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年1月1日以后生产的)经企业自检合格或以任何方式表明为合格的产品。</w:t>
      </w:r>
    </w:p>
    <w:p w14:paraId="4D863C69">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 抽样基数：同一批次产品不得少于1台。</w:t>
      </w:r>
    </w:p>
    <w:p w14:paraId="3F967FE3">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 抽样数量：</w:t>
      </w:r>
    </w:p>
    <w:p w14:paraId="20C66D7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4.1 整机: 在同一规格型号的产品中随机抽取1台用于检验；</w:t>
      </w:r>
    </w:p>
    <w:p w14:paraId="67EA8014">
      <w:pPr>
        <w:spacing w:line="360" w:lineRule="auto"/>
        <w:rPr>
          <w:rFonts w:ascii="仿宋_GB2312" w:hAnsi="仿宋_GB2312" w:eastAsia="仿宋_GB2312" w:cs="仿宋_GB2312"/>
          <w:spacing w:val="-6"/>
          <w:sz w:val="28"/>
          <w:szCs w:val="28"/>
        </w:rPr>
      </w:pPr>
      <w:r>
        <w:rPr>
          <w:rFonts w:hint="eastAsia" w:ascii="仿宋_GB2312" w:hAnsi="仿宋_GB2312" w:eastAsia="仿宋_GB2312" w:cs="仿宋_GB2312"/>
          <w:sz w:val="28"/>
          <w:szCs w:val="28"/>
        </w:rPr>
        <w:t>4.2 板片：</w:t>
      </w:r>
      <w:r>
        <w:rPr>
          <w:rFonts w:hint="eastAsia" w:ascii="仿宋_GB2312" w:hAnsi="仿宋_GB2312" w:eastAsia="仿宋_GB2312" w:cs="仿宋_GB2312"/>
          <w:spacing w:val="-6"/>
          <w:sz w:val="28"/>
          <w:szCs w:val="28"/>
        </w:rPr>
        <w:t>以该整机所装的板片数量为检验批，抽取该批板片的3‰，且不少于3片，作为板片抽查样品；（该样品由抽样者在被抽查企业成品库中随机抽取，并经被抽查企业确认与装机板片为同一批次）。</w:t>
      </w:r>
    </w:p>
    <w:p w14:paraId="07BEEAE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5、封样要求：被抽查样品应用密封和防拆封措施，以保证其完整性和真实性。检验样品和备用样品分别贴封条并同时由抽样人员和企业加盖公章或签字后带回检验机构。整机封样要注意产品名牌等明示产品性能指标及其它信息的部位进行相应的防拆封。</w:t>
      </w:r>
    </w:p>
    <w:p w14:paraId="2FB8A5C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6、样品管理：</w:t>
      </w:r>
    </w:p>
    <w:p w14:paraId="77D0097F">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6.1 整机贴封条，拍照后存于被抽查企业现场，并告知被抽查企业负责妥善保管，并告知如有保管不当后果由被抽查企业承担。</w:t>
      </w:r>
    </w:p>
    <w:p w14:paraId="2218BD7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6.2 检验机构要严格执行样品管理程序文件的要求，样品带回检验机构后立即入库并登记，样品流转要填好样品流转单。</w:t>
      </w:r>
    </w:p>
    <w:p w14:paraId="0091AEAF">
      <w:pPr>
        <w:spacing w:line="360" w:lineRule="auto"/>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三、检验要求    </w:t>
      </w:r>
    </w:p>
    <w:p w14:paraId="2AF9B23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检验项目见下表</w:t>
      </w:r>
    </w:p>
    <w:tbl>
      <w:tblPr>
        <w:tblStyle w:val="4"/>
        <w:tblW w:w="10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289"/>
        <w:gridCol w:w="2034"/>
        <w:gridCol w:w="2761"/>
        <w:gridCol w:w="3470"/>
      </w:tblGrid>
      <w:tr w14:paraId="02982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blHeader/>
          <w:jc w:val="center"/>
        </w:trPr>
        <w:tc>
          <w:tcPr>
            <w:tcW w:w="642" w:type="dxa"/>
            <w:noWrap/>
            <w:vAlign w:val="center"/>
          </w:tcPr>
          <w:p w14:paraId="0C573B02">
            <w:pPr>
              <w:snapToGrid w:val="0"/>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序号</w:t>
            </w:r>
          </w:p>
        </w:tc>
        <w:tc>
          <w:tcPr>
            <w:tcW w:w="1289" w:type="dxa"/>
            <w:noWrap/>
            <w:vAlign w:val="center"/>
          </w:tcPr>
          <w:p w14:paraId="76B39233">
            <w:pPr>
              <w:snapToGrid w:val="0"/>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检验项目</w:t>
            </w:r>
          </w:p>
        </w:tc>
        <w:tc>
          <w:tcPr>
            <w:tcW w:w="2034" w:type="dxa"/>
            <w:noWrap/>
            <w:vAlign w:val="center"/>
          </w:tcPr>
          <w:p w14:paraId="0B7803E8">
            <w:pPr>
              <w:snapToGrid w:val="0"/>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依据标准</w:t>
            </w:r>
          </w:p>
        </w:tc>
        <w:tc>
          <w:tcPr>
            <w:tcW w:w="2761" w:type="dxa"/>
            <w:noWrap/>
            <w:vAlign w:val="center"/>
          </w:tcPr>
          <w:p w14:paraId="2AA6F6DB">
            <w:pPr>
              <w:snapToGrid w:val="0"/>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标准要求</w:t>
            </w:r>
          </w:p>
        </w:tc>
        <w:tc>
          <w:tcPr>
            <w:tcW w:w="3470" w:type="dxa"/>
            <w:noWrap/>
            <w:vAlign w:val="center"/>
          </w:tcPr>
          <w:p w14:paraId="037641CB">
            <w:pPr>
              <w:snapToGrid w:val="0"/>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检测方法及判定</w:t>
            </w:r>
          </w:p>
        </w:tc>
      </w:tr>
      <w:tr w14:paraId="4748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75CB3FA1">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289" w:type="dxa"/>
            <w:noWrap/>
            <w:vAlign w:val="center"/>
          </w:tcPr>
          <w:p w14:paraId="500BE8A3">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液压试验</w:t>
            </w:r>
          </w:p>
        </w:tc>
        <w:tc>
          <w:tcPr>
            <w:tcW w:w="2034" w:type="dxa"/>
            <w:noWrap/>
            <w:vAlign w:val="center"/>
          </w:tcPr>
          <w:p w14:paraId="0921C885">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5B92DB52">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试验时将一侧注满水，缓慢升压达到设计压力的1.3倍，保压时间不少于30分钟，对所有密封面和受压焊接部位进行检查，应无渗漏、无异常响声和可见变形。同样进行另一侧试验。</w:t>
            </w:r>
          </w:p>
        </w:tc>
        <w:tc>
          <w:tcPr>
            <w:tcW w:w="3470" w:type="dxa"/>
            <w:noWrap/>
            <w:vAlign w:val="center"/>
          </w:tcPr>
          <w:p w14:paraId="514FC10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有渗漏；有掉压＞0.05MPa；产品发生明显变形为不合格。</w:t>
            </w:r>
          </w:p>
        </w:tc>
      </w:tr>
      <w:tr w14:paraId="0FDC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73560D2A">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9554" w:type="dxa"/>
            <w:gridSpan w:val="4"/>
            <w:noWrap/>
            <w:vAlign w:val="center"/>
          </w:tcPr>
          <w:p w14:paraId="6C68FBB0">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组装质量</w:t>
            </w:r>
          </w:p>
        </w:tc>
      </w:tr>
      <w:tr w14:paraId="0737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46A614A8">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1289" w:type="dxa"/>
            <w:noWrap/>
            <w:vAlign w:val="center"/>
          </w:tcPr>
          <w:p w14:paraId="5A2258F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两压紧板间的平行度偏差</w:t>
            </w:r>
          </w:p>
        </w:tc>
        <w:tc>
          <w:tcPr>
            <w:tcW w:w="2034" w:type="dxa"/>
            <w:noWrap/>
            <w:vAlign w:val="center"/>
          </w:tcPr>
          <w:p w14:paraId="2409D140">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58020280">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L小于1000mm时，不大于2mm；L大于1000mm时不大于L的3‰,且不大于4mm。（L代表夹紧尺寸）</w:t>
            </w:r>
          </w:p>
        </w:tc>
        <w:tc>
          <w:tcPr>
            <w:tcW w:w="3470" w:type="dxa"/>
            <w:noWrap/>
            <w:vAlign w:val="center"/>
          </w:tcPr>
          <w:p w14:paraId="3B61E002">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0EF6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5A032FA8">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1289" w:type="dxa"/>
            <w:noWrap/>
            <w:vAlign w:val="center"/>
          </w:tcPr>
          <w:p w14:paraId="7F4B7ADD">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夹紧尺寸偏差</w:t>
            </w:r>
          </w:p>
        </w:tc>
        <w:tc>
          <w:tcPr>
            <w:tcW w:w="2034" w:type="dxa"/>
            <w:noWrap/>
            <w:vAlign w:val="center"/>
          </w:tcPr>
          <w:p w14:paraId="31AB05CA">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14D112C1">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不大于L的1%；且当L小于100mm时，不大于1mm。</w:t>
            </w:r>
          </w:p>
          <w:p w14:paraId="2DB4AF76">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（L代表夹紧尺寸）</w:t>
            </w:r>
          </w:p>
        </w:tc>
        <w:tc>
          <w:tcPr>
            <w:tcW w:w="3470" w:type="dxa"/>
            <w:noWrap/>
            <w:vAlign w:val="center"/>
          </w:tcPr>
          <w:p w14:paraId="7A617339">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14773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2" w:type="dxa"/>
            <w:shd w:val="clear" w:color="auto" w:fill="auto"/>
            <w:noWrap/>
            <w:vAlign w:val="center"/>
          </w:tcPr>
          <w:p w14:paraId="0D3924E3">
            <w:pPr>
              <w:snapToGrid w:val="0"/>
              <w:spacing w:line="360" w:lineRule="auto"/>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3</w:t>
            </w:r>
          </w:p>
        </w:tc>
        <w:tc>
          <w:tcPr>
            <w:tcW w:w="1289" w:type="dxa"/>
            <w:shd w:val="clear" w:color="auto" w:fill="auto"/>
            <w:noWrap/>
            <w:vAlign w:val="center"/>
          </w:tcPr>
          <w:p w14:paraId="1FF15429">
            <w:pPr>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外观质量</w:t>
            </w:r>
          </w:p>
        </w:tc>
        <w:tc>
          <w:tcPr>
            <w:tcW w:w="2034" w:type="dxa"/>
            <w:shd w:val="clear" w:color="auto" w:fill="auto"/>
            <w:noWrap/>
            <w:vAlign w:val="center"/>
          </w:tcPr>
          <w:p w14:paraId="1B983377">
            <w:pPr>
              <w:snapToGrid w:val="0"/>
              <w:spacing w:line="360" w:lineRule="auto"/>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shd w:val="clear" w:color="auto" w:fill="auto"/>
            <w:noWrap/>
            <w:vAlign w:val="center"/>
          </w:tcPr>
          <w:p w14:paraId="3D4C9073">
            <w:pPr>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pacing w:val="-4"/>
                <w:szCs w:val="21"/>
              </w:rPr>
              <w:t>板式热交换器的碳素钢零、部件外露表面应采取防锈措施；法兰密封面宜涂油(脂)防护。</w:t>
            </w:r>
          </w:p>
        </w:tc>
        <w:tc>
          <w:tcPr>
            <w:tcW w:w="3470" w:type="dxa"/>
            <w:shd w:val="clear" w:color="auto" w:fill="auto"/>
            <w:noWrap/>
            <w:vAlign w:val="center"/>
          </w:tcPr>
          <w:p w14:paraId="58522052">
            <w:pPr>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不符合者为不合格。</w:t>
            </w:r>
          </w:p>
        </w:tc>
      </w:tr>
      <w:tr w14:paraId="54F4D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2" w:type="dxa"/>
            <w:shd w:val="clear" w:color="auto" w:fill="auto"/>
            <w:noWrap/>
            <w:vAlign w:val="center"/>
          </w:tcPr>
          <w:p w14:paraId="3E6611A8">
            <w:pPr>
              <w:snapToGrid w:val="0"/>
              <w:spacing w:line="360" w:lineRule="auto"/>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4</w:t>
            </w:r>
          </w:p>
        </w:tc>
        <w:tc>
          <w:tcPr>
            <w:tcW w:w="1289" w:type="dxa"/>
            <w:shd w:val="clear" w:color="auto" w:fill="auto"/>
            <w:noWrap/>
            <w:vAlign w:val="center"/>
          </w:tcPr>
          <w:p w14:paraId="7715834C">
            <w:pPr>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涂漆质量</w:t>
            </w:r>
          </w:p>
        </w:tc>
        <w:tc>
          <w:tcPr>
            <w:tcW w:w="2034" w:type="dxa"/>
            <w:shd w:val="clear" w:color="auto" w:fill="auto"/>
            <w:noWrap/>
            <w:vAlign w:val="center"/>
          </w:tcPr>
          <w:p w14:paraId="66C24135">
            <w:pPr>
              <w:snapToGrid w:val="0"/>
              <w:spacing w:line="360" w:lineRule="auto"/>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w:t>
            </w:r>
          </w:p>
        </w:tc>
        <w:tc>
          <w:tcPr>
            <w:tcW w:w="2761" w:type="dxa"/>
            <w:shd w:val="clear" w:color="auto" w:fill="auto"/>
            <w:noWrap/>
            <w:vAlign w:val="center"/>
          </w:tcPr>
          <w:p w14:paraId="625D573F">
            <w:pPr>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板式热交换器需涂漆的金属表面，涂漆前应干燥，对油污、铁锈、焊接飞溅物和其他影响涂漆质量的杂物应予清除，表面漆膜应均匀，不应有气泡、龟裂和剥落等现象。</w:t>
            </w:r>
          </w:p>
        </w:tc>
        <w:tc>
          <w:tcPr>
            <w:tcW w:w="3470" w:type="dxa"/>
            <w:shd w:val="clear" w:color="auto" w:fill="auto"/>
            <w:noWrap/>
            <w:vAlign w:val="center"/>
          </w:tcPr>
          <w:p w14:paraId="32873099">
            <w:pPr>
              <w:snapToGrid w:val="0"/>
              <w:spacing w:line="360" w:lineRule="auto"/>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不符合者为不合格。</w:t>
            </w:r>
          </w:p>
        </w:tc>
      </w:tr>
      <w:tr w14:paraId="7FE22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3333282A">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289" w:type="dxa"/>
            <w:noWrap/>
            <w:vAlign w:val="center"/>
          </w:tcPr>
          <w:p w14:paraId="4F32A53C">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焊接质量</w:t>
            </w:r>
          </w:p>
        </w:tc>
        <w:tc>
          <w:tcPr>
            <w:tcW w:w="2034" w:type="dxa"/>
            <w:noWrap/>
            <w:vAlign w:val="center"/>
          </w:tcPr>
          <w:p w14:paraId="0F0C344C">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3EED7A90">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焊接表面不得有裂纹、气孔、未焊透、未熔合、弧坑和飞溅物。</w:t>
            </w:r>
          </w:p>
        </w:tc>
        <w:tc>
          <w:tcPr>
            <w:tcW w:w="3470" w:type="dxa"/>
            <w:noWrap/>
            <w:vAlign w:val="center"/>
          </w:tcPr>
          <w:p w14:paraId="47D7CCE7">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37BAE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2F145E8F">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1289" w:type="dxa"/>
            <w:noWrap/>
            <w:vAlign w:val="center"/>
          </w:tcPr>
          <w:p w14:paraId="481A7F08">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标志</w:t>
            </w:r>
          </w:p>
        </w:tc>
        <w:tc>
          <w:tcPr>
            <w:tcW w:w="2034" w:type="dxa"/>
            <w:noWrap/>
            <w:vAlign w:val="center"/>
          </w:tcPr>
          <w:p w14:paraId="36837353">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4481806D">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a.每台板式热交换器应有产品铭牌，产品铭牌应固定于产品明显位置。</w:t>
            </w:r>
          </w:p>
          <w:p w14:paraId="569C8A9E">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b.每台产品必须有介质进、出口标志。</w:t>
            </w:r>
          </w:p>
        </w:tc>
        <w:tc>
          <w:tcPr>
            <w:tcW w:w="3470" w:type="dxa"/>
            <w:noWrap/>
            <w:vAlign w:val="center"/>
          </w:tcPr>
          <w:p w14:paraId="0064E329">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3C55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642" w:type="dxa"/>
            <w:noWrap/>
            <w:vAlign w:val="center"/>
          </w:tcPr>
          <w:p w14:paraId="5BAF5CFC">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9554" w:type="dxa"/>
            <w:gridSpan w:val="4"/>
            <w:noWrap/>
            <w:vAlign w:val="center"/>
          </w:tcPr>
          <w:p w14:paraId="4F6903F9">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板片的加工质量</w:t>
            </w:r>
          </w:p>
        </w:tc>
      </w:tr>
      <w:tr w14:paraId="1A734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7E063D94">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5.1</w:t>
            </w:r>
          </w:p>
        </w:tc>
        <w:tc>
          <w:tcPr>
            <w:tcW w:w="1289" w:type="dxa"/>
            <w:noWrap/>
            <w:vAlign w:val="center"/>
          </w:tcPr>
          <w:p w14:paraId="2FF7E45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板片的减薄量</w:t>
            </w:r>
          </w:p>
        </w:tc>
        <w:tc>
          <w:tcPr>
            <w:tcW w:w="2034" w:type="dxa"/>
            <w:noWrap/>
            <w:vAlign w:val="center"/>
          </w:tcPr>
          <w:p w14:paraId="31CDF50B">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186CC337">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＜23％S</w:t>
            </w:r>
            <w:r>
              <w:rPr>
                <w:rFonts w:hint="eastAsia" w:ascii="仿宋_GB2312" w:hAnsi="仿宋_GB2312" w:eastAsia="仿宋_GB2312" w:cs="仿宋_GB2312"/>
                <w:szCs w:val="21"/>
                <w:vertAlign w:val="subscript"/>
              </w:rPr>
              <w:t>0</w:t>
            </w:r>
            <w:r>
              <w:rPr>
                <w:rFonts w:hint="eastAsia" w:ascii="仿宋_GB2312" w:hAnsi="仿宋_GB2312" w:eastAsia="仿宋_GB2312" w:cs="仿宋_GB2312"/>
                <w:szCs w:val="21"/>
              </w:rPr>
              <w:t>(S</w:t>
            </w:r>
            <w:r>
              <w:rPr>
                <w:rFonts w:hint="eastAsia" w:ascii="仿宋_GB2312" w:hAnsi="仿宋_GB2312" w:eastAsia="仿宋_GB2312" w:cs="仿宋_GB2312"/>
                <w:szCs w:val="21"/>
                <w:vertAlign w:val="subscript"/>
              </w:rPr>
              <w:t>0</w:t>
            </w:r>
            <w:r>
              <w:rPr>
                <w:rFonts w:hint="eastAsia" w:ascii="仿宋_GB2312" w:hAnsi="仿宋_GB2312" w:eastAsia="仿宋_GB2312" w:cs="仿宋_GB2312"/>
                <w:szCs w:val="21"/>
              </w:rPr>
              <w:t>为板片实际厚度)</w:t>
            </w:r>
          </w:p>
        </w:tc>
        <w:tc>
          <w:tcPr>
            <w:tcW w:w="3470" w:type="dxa"/>
            <w:noWrap/>
            <w:vAlign w:val="center"/>
          </w:tcPr>
          <w:p w14:paraId="40587474">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2A31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1C7A9BCD">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5.2</w:t>
            </w:r>
          </w:p>
        </w:tc>
        <w:tc>
          <w:tcPr>
            <w:tcW w:w="9554" w:type="dxa"/>
            <w:gridSpan w:val="4"/>
            <w:noWrap/>
            <w:vAlign w:val="center"/>
          </w:tcPr>
          <w:p w14:paraId="5D0ABA94">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板片的表面质量</w:t>
            </w:r>
          </w:p>
        </w:tc>
      </w:tr>
      <w:tr w14:paraId="3793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1616916A">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5.2.1</w:t>
            </w:r>
          </w:p>
        </w:tc>
        <w:tc>
          <w:tcPr>
            <w:tcW w:w="1289" w:type="dxa"/>
            <w:noWrap/>
            <w:vAlign w:val="center"/>
          </w:tcPr>
          <w:p w14:paraId="20A24579">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板片外观质量</w:t>
            </w:r>
          </w:p>
        </w:tc>
        <w:tc>
          <w:tcPr>
            <w:tcW w:w="2034" w:type="dxa"/>
            <w:noWrap/>
            <w:vAlign w:val="center"/>
          </w:tcPr>
          <w:p w14:paraId="71C5F910">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66F08297">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板片周边及角孔应清除冲切毛刺</w:t>
            </w:r>
          </w:p>
        </w:tc>
        <w:tc>
          <w:tcPr>
            <w:tcW w:w="3470" w:type="dxa"/>
            <w:noWrap/>
            <w:vAlign w:val="center"/>
          </w:tcPr>
          <w:p w14:paraId="01B18377">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6A9D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5B19B780">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5.2.2</w:t>
            </w:r>
          </w:p>
        </w:tc>
        <w:tc>
          <w:tcPr>
            <w:tcW w:w="1289" w:type="dxa"/>
            <w:noWrap/>
            <w:vAlign w:val="center"/>
          </w:tcPr>
          <w:p w14:paraId="6CB5268C">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板片表面缺陷</w:t>
            </w:r>
          </w:p>
        </w:tc>
        <w:tc>
          <w:tcPr>
            <w:tcW w:w="2034" w:type="dxa"/>
            <w:noWrap/>
            <w:vAlign w:val="center"/>
          </w:tcPr>
          <w:p w14:paraId="2250E41E">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528340D8">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加工后的板片表面有超过板片厚度负偏差的凹坑、划伤、压痕等缺陷时应进行修磨。</w:t>
            </w:r>
          </w:p>
        </w:tc>
        <w:tc>
          <w:tcPr>
            <w:tcW w:w="3470" w:type="dxa"/>
            <w:noWrap/>
            <w:vAlign w:val="center"/>
          </w:tcPr>
          <w:p w14:paraId="7B3FB26D">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532B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2AA4BAC6">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5.3</w:t>
            </w:r>
          </w:p>
        </w:tc>
        <w:tc>
          <w:tcPr>
            <w:tcW w:w="1289" w:type="dxa"/>
            <w:noWrap/>
            <w:vAlign w:val="center"/>
          </w:tcPr>
          <w:p w14:paraId="5EF5FDEE">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波纹深度(mm)</w:t>
            </w:r>
          </w:p>
        </w:tc>
        <w:tc>
          <w:tcPr>
            <w:tcW w:w="2034" w:type="dxa"/>
            <w:noWrap/>
            <w:vAlign w:val="center"/>
          </w:tcPr>
          <w:p w14:paraId="160E2CFD">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1B117D4E">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a≤0.5m</w:t>
            </w:r>
            <w:r>
              <w:rPr>
                <w:rFonts w:hint="eastAsia" w:ascii="仿宋_GB2312" w:hAnsi="仿宋_GB2312" w:eastAsia="仿宋_GB2312" w:cs="仿宋_GB2312"/>
                <w:szCs w:val="21"/>
                <w:vertAlign w:val="superscript"/>
              </w:rPr>
              <w:t xml:space="preserve">2  </w:t>
            </w:r>
            <w:r>
              <w:rPr>
                <w:rFonts w:hint="eastAsia" w:ascii="仿宋_GB2312" w:hAnsi="仿宋_GB2312" w:eastAsia="仿宋_GB2312" w:cs="仿宋_GB2312"/>
                <w:szCs w:val="21"/>
              </w:rPr>
              <w:t>偏差为±0.10mm</w:t>
            </w:r>
          </w:p>
          <w:p w14:paraId="57D3F6C6">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0.5m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＜a≤1.6m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 xml:space="preserve">  偏差为±0.15mm</w:t>
            </w:r>
          </w:p>
          <w:p w14:paraId="14751CD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1.6m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＜a≤2.4m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 xml:space="preserve">  偏差为±0.20mm</w:t>
            </w:r>
          </w:p>
          <w:p w14:paraId="653C4186">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a＞2.4m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 xml:space="preserve"> 偏差为±0.25mm</w:t>
            </w:r>
          </w:p>
          <w:p w14:paraId="26666234">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(a代表单板换热面积)</w:t>
            </w:r>
          </w:p>
        </w:tc>
        <w:tc>
          <w:tcPr>
            <w:tcW w:w="3470" w:type="dxa"/>
            <w:noWrap/>
            <w:vAlign w:val="center"/>
          </w:tcPr>
          <w:p w14:paraId="528AA2A0">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从板片水平对称中心线起，沿板片纵向每米长度应不少于3排点（含对称线点），纵向长度小于1m时，按1m计算；从板片纵向对称中心线起，沿板片横向检测点间距应不大于200mm，且不少于2点（含对称线点），逐点均应合格，否则判为不合格。</w:t>
            </w:r>
          </w:p>
        </w:tc>
      </w:tr>
      <w:tr w14:paraId="1BCF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47D11BB2">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5.4</w:t>
            </w:r>
          </w:p>
        </w:tc>
        <w:tc>
          <w:tcPr>
            <w:tcW w:w="1289" w:type="dxa"/>
            <w:noWrap/>
            <w:vAlign w:val="center"/>
          </w:tcPr>
          <w:p w14:paraId="537EED08">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垫片槽深度（mm）</w:t>
            </w:r>
          </w:p>
        </w:tc>
        <w:tc>
          <w:tcPr>
            <w:tcW w:w="2034" w:type="dxa"/>
            <w:noWrap/>
            <w:vAlign w:val="center"/>
          </w:tcPr>
          <w:p w14:paraId="41A255F6">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3E9AA352">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a≤0.5m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 xml:space="preserve"> 偏差为±0.10mm</w:t>
            </w:r>
          </w:p>
          <w:p w14:paraId="139B7BE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0.5m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＜a≤1.6m</w:t>
            </w:r>
            <w:r>
              <w:rPr>
                <w:rFonts w:hint="eastAsia" w:ascii="仿宋_GB2312" w:hAnsi="仿宋_GB2312" w:eastAsia="仿宋_GB2312" w:cs="仿宋_GB2312"/>
                <w:szCs w:val="21"/>
                <w:vertAlign w:val="superscript"/>
              </w:rPr>
              <w:t xml:space="preserve">2  </w:t>
            </w:r>
            <w:r>
              <w:rPr>
                <w:rFonts w:hint="eastAsia" w:ascii="仿宋_GB2312" w:hAnsi="仿宋_GB2312" w:eastAsia="仿宋_GB2312" w:cs="仿宋_GB2312"/>
                <w:szCs w:val="21"/>
              </w:rPr>
              <w:t>偏差为±0.15mm</w:t>
            </w:r>
          </w:p>
          <w:p w14:paraId="6DCCC657">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1.6m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＜a≤2.4m</w:t>
            </w:r>
            <w:r>
              <w:rPr>
                <w:rFonts w:hint="eastAsia" w:ascii="仿宋_GB2312" w:hAnsi="仿宋_GB2312" w:eastAsia="仿宋_GB2312" w:cs="仿宋_GB2312"/>
                <w:szCs w:val="21"/>
                <w:vertAlign w:val="superscript"/>
              </w:rPr>
              <w:t xml:space="preserve">2  </w:t>
            </w:r>
            <w:r>
              <w:rPr>
                <w:rFonts w:hint="eastAsia" w:ascii="仿宋_GB2312" w:hAnsi="仿宋_GB2312" w:eastAsia="仿宋_GB2312" w:cs="仿宋_GB2312"/>
                <w:szCs w:val="21"/>
              </w:rPr>
              <w:t>偏差为±0.20mm</w:t>
            </w:r>
          </w:p>
          <w:p w14:paraId="7E60EF43">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a＞2.4m</w:t>
            </w:r>
            <w:r>
              <w:rPr>
                <w:rFonts w:hint="eastAsia" w:ascii="仿宋_GB2312" w:hAnsi="仿宋_GB2312" w:eastAsia="仿宋_GB2312" w:cs="仿宋_GB2312"/>
                <w:szCs w:val="21"/>
                <w:vertAlign w:val="superscript"/>
              </w:rPr>
              <w:t xml:space="preserve">2   </w:t>
            </w:r>
            <w:r>
              <w:rPr>
                <w:rFonts w:hint="eastAsia" w:ascii="仿宋_GB2312" w:hAnsi="仿宋_GB2312" w:eastAsia="仿宋_GB2312" w:cs="仿宋_GB2312"/>
                <w:szCs w:val="21"/>
              </w:rPr>
              <w:t>偏差为±0.25mm</w:t>
            </w:r>
          </w:p>
          <w:p w14:paraId="155A5EBB">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(a代表单板换热面积)</w:t>
            </w:r>
          </w:p>
        </w:tc>
        <w:tc>
          <w:tcPr>
            <w:tcW w:w="3470" w:type="dxa"/>
            <w:noWrap/>
            <w:vAlign w:val="center"/>
          </w:tcPr>
          <w:p w14:paraId="778EC4E5">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板片垫片槽深度检测点应均匀分布，两端各4点，每侧直线部分每米长度检测3点（直线长度小于1m, 按1m计算），逐点均应合格，否则判为不合格。</w:t>
            </w:r>
          </w:p>
        </w:tc>
      </w:tr>
      <w:tr w14:paraId="19EF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6DBF38A3">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9554" w:type="dxa"/>
            <w:gridSpan w:val="4"/>
            <w:noWrap/>
            <w:vAlign w:val="center"/>
          </w:tcPr>
          <w:p w14:paraId="0900F3CC">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垫片加工质量</w:t>
            </w:r>
          </w:p>
        </w:tc>
      </w:tr>
      <w:tr w14:paraId="6D00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6B820A11">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6.1</w:t>
            </w:r>
          </w:p>
        </w:tc>
        <w:tc>
          <w:tcPr>
            <w:tcW w:w="1289" w:type="dxa"/>
            <w:noWrap/>
            <w:vAlign w:val="center"/>
          </w:tcPr>
          <w:p w14:paraId="7BBA8D81">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垫片厚度（mm）</w:t>
            </w:r>
          </w:p>
        </w:tc>
        <w:tc>
          <w:tcPr>
            <w:tcW w:w="2034" w:type="dxa"/>
            <w:noWrap/>
            <w:vAlign w:val="center"/>
          </w:tcPr>
          <w:p w14:paraId="714B0FC5">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30375463">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不应有负偏差</w:t>
            </w:r>
          </w:p>
          <w:p w14:paraId="7E2B2C1C">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L≤1000mm且H≤4.0mm正偏差不大于0.20mm</w:t>
            </w:r>
          </w:p>
          <w:p w14:paraId="4EE7EC7C">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L≤1000mm且H＞4.0mm正偏差不大于0.25mm</w:t>
            </w:r>
          </w:p>
          <w:p w14:paraId="5C36A86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1000mm＜L≤1500mm，H≤6.3mm正偏差不大于0.25mm</w:t>
            </w:r>
          </w:p>
          <w:p w14:paraId="54BEB553">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1000mm＜L≤1500mmH＞6.3mm正偏差不大于0.30mm</w:t>
            </w:r>
          </w:p>
          <w:p w14:paraId="530DE614">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L＞1500mm正偏差不大于0.30mm</w:t>
            </w:r>
          </w:p>
          <w:p w14:paraId="740746CD">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（L代表垫片单边长度、H代表垫片厚度）</w:t>
            </w:r>
          </w:p>
        </w:tc>
        <w:tc>
          <w:tcPr>
            <w:tcW w:w="3470" w:type="dxa"/>
            <w:noWrap/>
            <w:vAlign w:val="center"/>
          </w:tcPr>
          <w:p w14:paraId="6E99FC52">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检测点应均匀分布，其中两端各4点，二道密封处各2点，每侧直线部分每米长度检测3点（直线长度小于1m时，按1m计算），逐点应合格，否则为不合格。</w:t>
            </w:r>
          </w:p>
        </w:tc>
      </w:tr>
      <w:tr w14:paraId="6223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411288B2">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6.2</w:t>
            </w:r>
          </w:p>
        </w:tc>
        <w:tc>
          <w:tcPr>
            <w:tcW w:w="9554" w:type="dxa"/>
            <w:gridSpan w:val="4"/>
            <w:noWrap/>
            <w:vAlign w:val="center"/>
          </w:tcPr>
          <w:p w14:paraId="3397AA30">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垫片外观质量</w:t>
            </w:r>
          </w:p>
        </w:tc>
      </w:tr>
      <w:tr w14:paraId="794A2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54CE9B9F">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6.2.1</w:t>
            </w:r>
          </w:p>
        </w:tc>
        <w:tc>
          <w:tcPr>
            <w:tcW w:w="1289" w:type="dxa"/>
            <w:noWrap/>
            <w:vAlign w:val="center"/>
          </w:tcPr>
          <w:p w14:paraId="43FB0805">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垫片横截面质量</w:t>
            </w:r>
          </w:p>
        </w:tc>
        <w:tc>
          <w:tcPr>
            <w:tcW w:w="2034" w:type="dxa"/>
            <w:noWrap/>
            <w:vAlign w:val="center"/>
          </w:tcPr>
          <w:p w14:paraId="4A84CC52">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1659BB89">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pacing w:val="-4"/>
                <w:szCs w:val="21"/>
              </w:rPr>
              <w:t>垫片的横截面应色泽均一，不应有机械杂质、气泡等缺陷。</w:t>
            </w:r>
          </w:p>
        </w:tc>
        <w:tc>
          <w:tcPr>
            <w:tcW w:w="3470" w:type="dxa"/>
            <w:noWrap/>
            <w:vAlign w:val="center"/>
          </w:tcPr>
          <w:p w14:paraId="405D5FF6">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不符合者为不合格。</w:t>
            </w:r>
          </w:p>
        </w:tc>
      </w:tr>
      <w:tr w14:paraId="0D26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7B4CAECC">
            <w:pPr>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6.2.2</w:t>
            </w:r>
          </w:p>
        </w:tc>
        <w:tc>
          <w:tcPr>
            <w:tcW w:w="1289" w:type="dxa"/>
            <w:noWrap/>
            <w:vAlign w:val="center"/>
          </w:tcPr>
          <w:p w14:paraId="76686889">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垫片主密封面质量</w:t>
            </w:r>
          </w:p>
        </w:tc>
        <w:tc>
          <w:tcPr>
            <w:tcW w:w="2034" w:type="dxa"/>
            <w:noWrap/>
            <w:vAlign w:val="center"/>
          </w:tcPr>
          <w:p w14:paraId="053B6881">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471666C4">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垫片上下主密封面应平整光滑，不应有任何气泡、凹坑、飞边及其他影响密封的缺陷。</w:t>
            </w:r>
          </w:p>
        </w:tc>
        <w:tc>
          <w:tcPr>
            <w:tcW w:w="3470" w:type="dxa"/>
            <w:noWrap/>
            <w:vAlign w:val="center"/>
          </w:tcPr>
          <w:p w14:paraId="24F63C0D">
            <w:pPr>
              <w:snapToGrid w:val="0"/>
              <w:spacing w:line="360" w:lineRule="auto"/>
              <w:rPr>
                <w:rFonts w:ascii="仿宋_GB2312" w:hAnsi="仿宋_GB2312" w:eastAsia="仿宋_GB2312" w:cs="仿宋_GB2312"/>
                <w:szCs w:val="21"/>
              </w:rPr>
            </w:pPr>
            <w:bookmarkStart w:id="0" w:name="OLE_LINK1"/>
            <w:r>
              <w:rPr>
                <w:rFonts w:hint="eastAsia" w:ascii="仿宋_GB2312" w:hAnsi="仿宋_GB2312" w:eastAsia="仿宋_GB2312" w:cs="仿宋_GB2312"/>
                <w:szCs w:val="21"/>
              </w:rPr>
              <w:t xml:space="preserve">不符合者为不合格。 </w:t>
            </w:r>
            <w:bookmarkEnd w:id="0"/>
          </w:p>
        </w:tc>
      </w:tr>
      <w:tr w14:paraId="6C582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2" w:type="dxa"/>
            <w:noWrap/>
            <w:vAlign w:val="center"/>
          </w:tcPr>
          <w:p w14:paraId="182D3280">
            <w:pPr>
              <w:adjustRightInd w:val="0"/>
              <w:snapToGrid w:val="0"/>
              <w:spacing w:line="360" w:lineRule="auto"/>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6.</w:t>
            </w:r>
            <w:r>
              <w:rPr>
                <w:rFonts w:hint="eastAsia" w:ascii="仿宋_GB2312" w:hAnsi="仿宋_GB2312" w:eastAsia="仿宋_GB2312" w:cs="仿宋_GB2312"/>
                <w:szCs w:val="21"/>
                <w:lang w:val="en-US" w:eastAsia="zh-CN"/>
              </w:rPr>
              <w:t>3</w:t>
            </w:r>
          </w:p>
        </w:tc>
        <w:tc>
          <w:tcPr>
            <w:tcW w:w="1289" w:type="dxa"/>
            <w:noWrap/>
            <w:vAlign w:val="center"/>
          </w:tcPr>
          <w:p w14:paraId="03E5BC57">
            <w:pPr>
              <w:adjustRightInd w:val="0"/>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垫片硬度</w:t>
            </w:r>
          </w:p>
          <w:p w14:paraId="47FCD863">
            <w:pPr>
              <w:adjustRightInd w:val="0"/>
              <w:snapToGrid w:val="0"/>
              <w:spacing w:line="360" w:lineRule="auto"/>
              <w:rPr>
                <w:rFonts w:ascii="仿宋_GB2312" w:hAnsi="仿宋_GB2312" w:eastAsia="仿宋_GB2312" w:cs="仿宋_GB2312"/>
                <w:szCs w:val="21"/>
              </w:rPr>
            </w:pPr>
            <w:r>
              <w:rPr>
                <w:rFonts w:hint="eastAsia" w:ascii="仿宋_GB2312" w:hAnsi="仿宋_GB2312" w:eastAsia="仿宋_GB2312" w:cs="仿宋_GB2312"/>
                <w:spacing w:val="-12"/>
                <w:szCs w:val="21"/>
              </w:rPr>
              <w:t>（邵尔A）</w:t>
            </w:r>
          </w:p>
        </w:tc>
        <w:tc>
          <w:tcPr>
            <w:tcW w:w="2034" w:type="dxa"/>
            <w:noWrap/>
            <w:vAlign w:val="center"/>
          </w:tcPr>
          <w:p w14:paraId="6D32F7A8">
            <w:pPr>
              <w:snapToGrid w:val="0"/>
              <w:spacing w:line="360" w:lineRule="auto"/>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NB/T47004.1-20</w:t>
            </w:r>
            <w:r>
              <w:rPr>
                <w:rFonts w:hint="eastAsia" w:ascii="仿宋_GB2312" w:hAnsi="仿宋_GB2312" w:eastAsia="仿宋_GB2312" w:cs="仿宋_GB2312"/>
                <w:szCs w:val="21"/>
                <w:lang w:val="en-US" w:eastAsia="zh-CN"/>
              </w:rPr>
              <w:t>25</w:t>
            </w:r>
          </w:p>
        </w:tc>
        <w:tc>
          <w:tcPr>
            <w:tcW w:w="2761" w:type="dxa"/>
            <w:noWrap/>
            <w:vAlign w:val="center"/>
          </w:tcPr>
          <w:p w14:paraId="71FC7692">
            <w:pPr>
              <w:tabs>
                <w:tab w:val="left" w:pos="900"/>
              </w:tabs>
              <w:spacing w:line="360" w:lineRule="auto"/>
              <w:rPr>
                <w:rFonts w:ascii="仿宋_GB2312" w:hAnsi="仿宋_GB2312" w:eastAsia="仿宋_GB2312" w:cs="仿宋_GB2312"/>
                <w:spacing w:val="-12"/>
                <w:szCs w:val="21"/>
              </w:rPr>
            </w:pPr>
            <w:r>
              <w:rPr>
                <w:rFonts w:hint="eastAsia" w:ascii="仿宋_GB2312" w:hAnsi="仿宋_GB2312" w:eastAsia="仿宋_GB2312" w:cs="仿宋_GB2312"/>
                <w:spacing w:val="-12"/>
                <w:szCs w:val="21"/>
              </w:rPr>
              <w:t>丁腈橡胶75±5</w:t>
            </w:r>
          </w:p>
          <w:p w14:paraId="4A4EBC63">
            <w:pPr>
              <w:adjustRightInd w:val="0"/>
              <w:snapToGrid w:val="0"/>
              <w:spacing w:line="360" w:lineRule="auto"/>
              <w:rPr>
                <w:rFonts w:ascii="仿宋_GB2312" w:hAnsi="仿宋_GB2312" w:eastAsia="仿宋_GB2312" w:cs="仿宋_GB2312"/>
                <w:spacing w:val="-12"/>
                <w:szCs w:val="21"/>
              </w:rPr>
            </w:pPr>
            <w:r>
              <w:rPr>
                <w:rFonts w:hint="eastAsia" w:ascii="仿宋_GB2312" w:hAnsi="仿宋_GB2312" w:eastAsia="仿宋_GB2312" w:cs="仿宋_GB2312"/>
                <w:spacing w:val="-12"/>
                <w:szCs w:val="21"/>
              </w:rPr>
              <w:t>三元已丙橡胶80±5</w:t>
            </w:r>
          </w:p>
          <w:p w14:paraId="5E427632">
            <w:pPr>
              <w:adjustRightInd w:val="0"/>
              <w:snapToGrid w:val="0"/>
              <w:spacing w:line="360" w:lineRule="auto"/>
              <w:rPr>
                <w:rFonts w:ascii="仿宋_GB2312" w:hAnsi="仿宋_GB2312" w:eastAsia="仿宋_GB2312" w:cs="仿宋_GB2312"/>
                <w:spacing w:val="-12"/>
                <w:szCs w:val="21"/>
              </w:rPr>
            </w:pPr>
            <w:r>
              <w:rPr>
                <w:rFonts w:hint="eastAsia" w:ascii="仿宋_GB2312" w:hAnsi="仿宋_GB2312" w:eastAsia="仿宋_GB2312" w:cs="仿宋_GB2312"/>
                <w:spacing w:val="-12"/>
                <w:szCs w:val="21"/>
              </w:rPr>
              <w:t>氟橡胶80±5</w:t>
            </w:r>
          </w:p>
          <w:p w14:paraId="63858662">
            <w:pPr>
              <w:adjustRightInd w:val="0"/>
              <w:snapToGrid w:val="0"/>
              <w:spacing w:line="360" w:lineRule="auto"/>
              <w:rPr>
                <w:rFonts w:ascii="仿宋_GB2312" w:hAnsi="仿宋_GB2312" w:eastAsia="仿宋_GB2312" w:cs="仿宋_GB2312"/>
                <w:spacing w:val="-12"/>
                <w:szCs w:val="21"/>
              </w:rPr>
            </w:pPr>
          </w:p>
          <w:p w14:paraId="417C3443">
            <w:pPr>
              <w:adjustRightInd w:val="0"/>
              <w:snapToGrid w:val="0"/>
              <w:spacing w:line="360" w:lineRule="auto"/>
              <w:rPr>
                <w:rFonts w:ascii="仿宋_GB2312" w:hAnsi="仿宋_GB2312" w:eastAsia="仿宋_GB2312" w:cs="仿宋_GB2312"/>
                <w:szCs w:val="21"/>
              </w:rPr>
            </w:pPr>
          </w:p>
        </w:tc>
        <w:tc>
          <w:tcPr>
            <w:tcW w:w="3470" w:type="dxa"/>
            <w:noWrap/>
            <w:vAlign w:val="center"/>
          </w:tcPr>
          <w:p w14:paraId="45F705F5">
            <w:pPr>
              <w:adjustRightInd w:val="0"/>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检测点应均匀分布，其中两端各4点，二道密封处各2点，每侧直线部分每米长度检测3点（直线长度小于1m时，按1m计算），逐点应合格，否则为不合格。</w:t>
            </w:r>
          </w:p>
        </w:tc>
      </w:tr>
    </w:tbl>
    <w:p w14:paraId="328DE6B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1、液压试验：试验时将一侧注满水，缓慢升压达到设计压力的1.3倍，保压时间不少于30分钟，对所有密封面和受压焊接部位进行检查，应无渗漏、无异常响声和可见变形。同样进行另一侧试验。</w:t>
      </w:r>
    </w:p>
    <w:p w14:paraId="52AE7446">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2、两压紧板间的平行度偏差：用游标卡尺或钢直尺检测；</w:t>
      </w:r>
    </w:p>
    <w:p w14:paraId="420B90F4">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3、夹紧尺寸偏差：用游标卡尺或钢直尺检测；</w:t>
      </w:r>
    </w:p>
    <w:p w14:paraId="4219DBEC">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、垫片的粘结质量:目测；</w:t>
      </w:r>
    </w:p>
    <w:p w14:paraId="278948DA">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、防锈措施：目测；</w:t>
      </w:r>
    </w:p>
    <w:p w14:paraId="2BFD0EF7">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、涂漆质量：目测；</w:t>
      </w:r>
    </w:p>
    <w:p w14:paraId="62BA5E52">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、焊接质量: 焊缝尺、目测；</w:t>
      </w:r>
    </w:p>
    <w:p w14:paraId="0ECE42CB">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、标志：目测。</w:t>
      </w:r>
    </w:p>
    <w:p w14:paraId="5B5E82B2">
      <w:pPr>
        <w:spacing w:line="360" w:lineRule="auto"/>
        <w:rPr>
          <w:rFonts w:hint="eastAsia" w:ascii="仿宋_GB2312" w:hAnsi="仿宋_GB2312" w:eastAsia="仿宋_GB2312" w:cs="仿宋_GB2312"/>
          <w:b/>
          <w:bCs/>
          <w:sz w:val="28"/>
          <w:szCs w:val="28"/>
        </w:rPr>
      </w:pPr>
    </w:p>
    <w:p w14:paraId="546F4F22">
      <w:pPr>
        <w:spacing w:line="360" w:lineRule="auto"/>
        <w:rPr>
          <w:rFonts w:hint="eastAsia" w:ascii="仿宋_GB2312" w:hAnsi="仿宋_GB2312" w:eastAsia="仿宋_GB2312" w:cs="仿宋_GB2312"/>
          <w:b/>
          <w:bCs/>
          <w:sz w:val="28"/>
          <w:szCs w:val="28"/>
        </w:rPr>
      </w:pPr>
    </w:p>
    <w:p w14:paraId="0506E6E0">
      <w:pPr>
        <w:spacing w:line="360" w:lineRule="auto"/>
        <w:rPr>
          <w:rFonts w:hint="eastAsia" w:ascii="仿宋_GB2312" w:hAnsi="仿宋_GB2312" w:eastAsia="仿宋_GB2312" w:cs="仿宋_GB2312"/>
          <w:b/>
          <w:bCs/>
          <w:sz w:val="28"/>
          <w:szCs w:val="28"/>
        </w:rPr>
      </w:pPr>
    </w:p>
    <w:p w14:paraId="0027A104">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四、判定原则</w:t>
      </w:r>
    </w:p>
    <w:p w14:paraId="24F2956F">
      <w:pPr>
        <w:spacing w:line="360" w:lineRule="auto"/>
        <w:ind w:firstLine="1400" w:firstLineChars="500"/>
        <w:rPr>
          <w:rFonts w:ascii="仿宋_GB2312" w:hAnsi="仿宋_GB2312" w:eastAsia="仿宋_GB2312" w:cs="仿宋_GB2312"/>
          <w:sz w:val="28"/>
          <w:szCs w:val="28"/>
        </w:rPr>
      </w:pPr>
      <w:r>
        <w:rPr>
          <w:rFonts w:hint="eastAsia" w:ascii="仿宋_GB2312" w:hAnsi="仿宋_GB2312" w:eastAsia="仿宋_GB2312" w:cs="仿宋_GB2312"/>
          <w:sz w:val="28"/>
          <w:szCs w:val="28"/>
        </w:rPr>
        <w:t>板式换热器检验项目重要程度分类如下表：</w:t>
      </w:r>
    </w:p>
    <w:tbl>
      <w:tblPr>
        <w:tblStyle w:val="4"/>
        <w:tblW w:w="893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7335"/>
      </w:tblGrid>
      <w:tr w14:paraId="093F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596" w:type="dxa"/>
            <w:noWrap/>
            <w:vAlign w:val="center"/>
          </w:tcPr>
          <w:p w14:paraId="08E624F1">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级别</w:t>
            </w:r>
          </w:p>
        </w:tc>
        <w:tc>
          <w:tcPr>
            <w:tcW w:w="7335" w:type="dxa"/>
            <w:noWrap/>
            <w:vAlign w:val="center"/>
          </w:tcPr>
          <w:p w14:paraId="11D7E1F6">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检验项目</w:t>
            </w:r>
          </w:p>
        </w:tc>
      </w:tr>
      <w:tr w14:paraId="6F527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596" w:type="dxa"/>
            <w:noWrap/>
            <w:vAlign w:val="center"/>
          </w:tcPr>
          <w:p w14:paraId="13E16E6A">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A级</w:t>
            </w:r>
          </w:p>
        </w:tc>
        <w:tc>
          <w:tcPr>
            <w:tcW w:w="7335" w:type="dxa"/>
            <w:noWrap/>
            <w:vAlign w:val="center"/>
          </w:tcPr>
          <w:p w14:paraId="66F3AB19">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1、液压试验</w:t>
            </w:r>
          </w:p>
        </w:tc>
      </w:tr>
      <w:tr w14:paraId="3416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4" w:hRule="atLeast"/>
        </w:trPr>
        <w:tc>
          <w:tcPr>
            <w:tcW w:w="1596" w:type="dxa"/>
            <w:noWrap/>
            <w:vAlign w:val="center"/>
          </w:tcPr>
          <w:p w14:paraId="7A1396DC">
            <w:pPr>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B级</w:t>
            </w:r>
          </w:p>
        </w:tc>
        <w:tc>
          <w:tcPr>
            <w:tcW w:w="7335" w:type="dxa"/>
            <w:noWrap/>
            <w:vAlign w:val="center"/>
          </w:tcPr>
          <w:p w14:paraId="3771B6DD">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1、两压紧板间的平行度偏差</w:t>
            </w:r>
          </w:p>
          <w:p w14:paraId="70F04319">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2、夹紧尺寸偏差</w:t>
            </w:r>
          </w:p>
          <w:p w14:paraId="0C2A3116">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3、板片的波纹深度、垫片槽深度</w:t>
            </w:r>
          </w:p>
          <w:p w14:paraId="691643E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4、垫片厚度</w:t>
            </w:r>
          </w:p>
          <w:p w14:paraId="160EECA0">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5、垫片硬度</w:t>
            </w:r>
          </w:p>
          <w:p w14:paraId="083B33D7">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、板片的减薄量</w:t>
            </w:r>
          </w:p>
        </w:tc>
      </w:tr>
      <w:tr w14:paraId="21E7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4" w:hRule="atLeast"/>
        </w:trPr>
        <w:tc>
          <w:tcPr>
            <w:tcW w:w="1596" w:type="dxa"/>
            <w:noWrap/>
            <w:vAlign w:val="center"/>
          </w:tcPr>
          <w:p w14:paraId="7F1C66AF">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C级</w:t>
            </w:r>
          </w:p>
        </w:tc>
        <w:tc>
          <w:tcPr>
            <w:tcW w:w="7335" w:type="dxa"/>
            <w:noWrap/>
            <w:vAlign w:val="center"/>
          </w:tcPr>
          <w:p w14:paraId="68F141DE">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1、垫片横截面质量</w:t>
            </w:r>
          </w:p>
          <w:p w14:paraId="043F7D99">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2、垫片的主密封面质量</w:t>
            </w:r>
          </w:p>
          <w:p w14:paraId="4D681454">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、垫片的外观质量</w:t>
            </w:r>
          </w:p>
          <w:p w14:paraId="7A1D621E">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、板片的外观质量</w:t>
            </w:r>
          </w:p>
          <w:p w14:paraId="2A551E7D">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、板片的表面缺陷</w:t>
            </w:r>
          </w:p>
          <w:p w14:paraId="6C3997F1">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、外观质量</w:t>
            </w:r>
          </w:p>
          <w:p w14:paraId="00AE8613">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7</w:t>
            </w:r>
            <w:r>
              <w:rPr>
                <w:rFonts w:hint="eastAsia" w:ascii="仿宋_GB2312" w:hAnsi="仿宋_GB2312" w:eastAsia="仿宋_GB2312" w:cs="仿宋_GB2312"/>
                <w:szCs w:val="21"/>
              </w:rPr>
              <w:t>、涂漆质量</w:t>
            </w:r>
          </w:p>
          <w:p w14:paraId="51F13A9D">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8</w:t>
            </w:r>
            <w:r>
              <w:rPr>
                <w:rFonts w:hint="eastAsia" w:ascii="仿宋_GB2312" w:hAnsi="仿宋_GB2312" w:eastAsia="仿宋_GB2312" w:cs="仿宋_GB2312"/>
                <w:szCs w:val="21"/>
              </w:rPr>
              <w:t>、焊接质量</w:t>
            </w:r>
          </w:p>
          <w:p w14:paraId="33258486">
            <w:pPr>
              <w:spacing w:line="360"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9</w:t>
            </w:r>
            <w:r>
              <w:rPr>
                <w:rFonts w:hint="eastAsia" w:ascii="仿宋_GB2312" w:hAnsi="仿宋_GB2312" w:eastAsia="仿宋_GB2312" w:cs="仿宋_GB2312"/>
                <w:szCs w:val="21"/>
              </w:rPr>
              <w:t>、标志</w:t>
            </w:r>
          </w:p>
        </w:tc>
      </w:tr>
    </w:tbl>
    <w:p w14:paraId="6355EB1E">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板式热交换器产品质量判定原则如下表：</w:t>
      </w:r>
    </w:p>
    <w:tbl>
      <w:tblPr>
        <w:tblStyle w:val="4"/>
        <w:tblpPr w:leftFromText="180" w:rightFromText="180" w:vertAnchor="text" w:horzAnchor="page" w:tblpXSpec="center" w:tblpY="1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6"/>
      </w:tblGrid>
      <w:tr w14:paraId="49C46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96" w:type="dxa"/>
            <w:noWrap/>
          </w:tcPr>
          <w:p w14:paraId="34A19E64">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依据标准：NB/T 47004.1-20</w:t>
            </w:r>
            <w:r>
              <w:rPr>
                <w:rFonts w:hint="eastAsia" w:ascii="仿宋_GB2312" w:hAnsi="仿宋_GB2312" w:eastAsia="仿宋_GB2312" w:cs="仿宋_GB2312"/>
                <w:szCs w:val="21"/>
                <w:lang w:val="en-US" w:eastAsia="zh-CN"/>
              </w:rPr>
              <w:t>25</w:t>
            </w:r>
            <w:r>
              <w:rPr>
                <w:rFonts w:hint="eastAsia" w:ascii="仿宋_GB2312" w:hAnsi="仿宋_GB2312" w:eastAsia="仿宋_GB2312" w:cs="仿宋_GB2312"/>
                <w:szCs w:val="21"/>
              </w:rPr>
              <w:t>《板式热交换器》</w:t>
            </w:r>
          </w:p>
        </w:tc>
      </w:tr>
      <w:tr w14:paraId="19DAB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8996" w:type="dxa"/>
            <w:noWrap/>
            <w:vAlign w:val="center"/>
          </w:tcPr>
          <w:p w14:paraId="678A52F0">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1、凡有A级不合格一项或一项以上者，该产品判为不合格，为严重不合格。</w:t>
            </w:r>
          </w:p>
          <w:p w14:paraId="14D8A42A">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2、凡有B级不合格项两项或两</w:t>
            </w:r>
            <w:bookmarkStart w:id="1" w:name="_GoBack"/>
            <w:bookmarkEnd w:id="1"/>
            <w:r>
              <w:rPr>
                <w:rFonts w:hint="eastAsia" w:ascii="仿宋_GB2312" w:hAnsi="仿宋_GB2312" w:eastAsia="仿宋_GB2312" w:cs="仿宋_GB2312"/>
                <w:szCs w:val="21"/>
              </w:rPr>
              <w:t>项以上者，该产品判为不合格，为一般不合格。</w:t>
            </w:r>
          </w:p>
          <w:p w14:paraId="458FA827">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3、凡同时有B级不合格项一项和C级不合格项两项或两项以上者，该产品判为不合格，为一般不合格。</w:t>
            </w:r>
          </w:p>
          <w:p w14:paraId="6B83A69C">
            <w:pPr>
              <w:spacing w:line="360" w:lineRule="auto"/>
              <w:rPr>
                <w:rFonts w:ascii="仿宋_GB2312" w:hAnsi="仿宋_GB2312" w:eastAsia="仿宋_GB2312" w:cs="仿宋_GB2312"/>
                <w:spacing w:val="-4"/>
                <w:szCs w:val="21"/>
              </w:rPr>
            </w:pPr>
            <w:r>
              <w:rPr>
                <w:rFonts w:hint="eastAsia" w:ascii="仿宋_GB2312" w:hAnsi="仿宋_GB2312" w:eastAsia="仿宋_GB2312" w:cs="仿宋_GB2312"/>
                <w:szCs w:val="21"/>
              </w:rPr>
              <w:t>4、凡有C级不合格项四项或四项以上者，该产品判为不合格，为一般不合格。</w:t>
            </w:r>
          </w:p>
        </w:tc>
      </w:tr>
    </w:tbl>
    <w:p w14:paraId="613077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4C44"/>
    <w:rsid w:val="002904C2"/>
    <w:rsid w:val="002A4C44"/>
    <w:rsid w:val="00F47CA3"/>
    <w:rsid w:val="06575BE2"/>
    <w:rsid w:val="115E60B2"/>
    <w:rsid w:val="16502DAE"/>
    <w:rsid w:val="166477C3"/>
    <w:rsid w:val="1CF33ECD"/>
    <w:rsid w:val="24A85D57"/>
    <w:rsid w:val="28CE487A"/>
    <w:rsid w:val="2D0F07B8"/>
    <w:rsid w:val="2E89643F"/>
    <w:rsid w:val="2F1D1B61"/>
    <w:rsid w:val="35305866"/>
    <w:rsid w:val="3AEF2394"/>
    <w:rsid w:val="3C131A3E"/>
    <w:rsid w:val="3C535547"/>
    <w:rsid w:val="48484D29"/>
    <w:rsid w:val="4CB37051"/>
    <w:rsid w:val="5EF1339D"/>
    <w:rsid w:val="619B5E52"/>
    <w:rsid w:val="6BF129A5"/>
    <w:rsid w:val="7D2C5A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2364</Words>
  <Characters>2914</Characters>
  <Lines>27</Lines>
  <Paragraphs>7</Paragraphs>
  <TotalTime>20</TotalTime>
  <ScaleCrop>false</ScaleCrop>
  <LinksUpToDate>false</LinksUpToDate>
  <CharactersWithSpaces>2973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2020-09-17T06:43:00Z</dcterms:created>
  <dc:creator>Administrator</dc:creator>
  <cp:lastModifiedBy>WPS_1716885795</cp:lastModifiedBy>
  <dcterms:modified xsi:type="dcterms:W3CDTF">2026-01-13T06:01:10Z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eyJoZGlkIjoiYWE5OWZhOThjYzVkNjUwYjkwM2Q4ZmMxZTk2MDJhZDMiLCJ1c2VySWQiOiIxNjAyNjc5MjYyIn0=</vt:lpwstr>
  </property>
  <property fmtid="{D5CDD505-2E9C-101B-9397-08002B2CF9AE}" pid="4" name="ICV">
    <vt:lpwstr>5443A09B90D44394A712C7C38B42E80F_12</vt:lpwstr>
  </property>
</Properties>
</file>